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30A" w:rsidRDefault="0038130A" w:rsidP="008870D4">
      <w:pPr>
        <w:spacing w:before="120"/>
        <w:jc w:val="center"/>
        <w:rPr>
          <w:rFonts w:ascii="Times New Roman" w:hAnsi="Times New Roman"/>
          <w:b/>
          <w:caps/>
          <w:snapToGrid w:val="0"/>
          <w:color w:val="000000"/>
          <w:sz w:val="44"/>
          <w:szCs w:val="44"/>
        </w:rPr>
      </w:pPr>
      <w:r>
        <w:rPr>
          <w:rFonts w:ascii="Times New Roman" w:hAnsi="Times New Roman"/>
          <w:b/>
          <w:caps/>
          <w:snapToGrid w:val="0"/>
          <w:color w:val="000000"/>
          <w:sz w:val="44"/>
          <w:szCs w:val="44"/>
        </w:rPr>
        <w:t>THEME 2</w:t>
      </w:r>
    </w:p>
    <w:p w:rsidR="0038130A" w:rsidRDefault="0038130A" w:rsidP="008870D4">
      <w:pPr>
        <w:spacing w:before="120"/>
        <w:jc w:val="center"/>
        <w:rPr>
          <w:rFonts w:ascii="Times New Roman" w:hAnsi="Times New Roman"/>
          <w:b/>
          <w:caps/>
          <w:snapToGrid w:val="0"/>
          <w:color w:val="000000"/>
          <w:sz w:val="44"/>
          <w:szCs w:val="44"/>
        </w:rPr>
      </w:pPr>
    </w:p>
    <w:p w:rsidR="0038130A" w:rsidRDefault="0038130A" w:rsidP="008870D4">
      <w:pPr>
        <w:spacing w:before="120"/>
        <w:jc w:val="center"/>
        <w:rPr>
          <w:rFonts w:ascii="Times New Roman" w:hAnsi="Times New Roman"/>
          <w:b/>
          <w:caps/>
          <w:snapToGrid w:val="0"/>
          <w:color w:val="000000"/>
          <w:sz w:val="44"/>
          <w:szCs w:val="44"/>
        </w:rPr>
      </w:pPr>
    </w:p>
    <w:p w:rsidR="0038130A" w:rsidRDefault="0038130A" w:rsidP="008870D4">
      <w:pPr>
        <w:spacing w:before="120"/>
        <w:jc w:val="center"/>
        <w:rPr>
          <w:rFonts w:ascii="Times New Roman" w:hAnsi="Times New Roman"/>
          <w:b/>
          <w:caps/>
          <w:snapToGrid w:val="0"/>
          <w:color w:val="000000"/>
          <w:sz w:val="44"/>
          <w:szCs w:val="44"/>
        </w:rPr>
      </w:pPr>
    </w:p>
    <w:p w:rsidR="0038130A" w:rsidRDefault="0038130A" w:rsidP="008870D4">
      <w:pPr>
        <w:spacing w:before="120"/>
        <w:jc w:val="center"/>
        <w:rPr>
          <w:rFonts w:ascii="Times New Roman" w:hAnsi="Times New Roman"/>
          <w:b/>
          <w:caps/>
          <w:snapToGrid w:val="0"/>
          <w:color w:val="000000"/>
          <w:sz w:val="44"/>
          <w:szCs w:val="44"/>
        </w:rPr>
      </w:pPr>
    </w:p>
    <w:p w:rsidR="0038130A" w:rsidRPr="0038130A" w:rsidRDefault="0038130A" w:rsidP="008870D4">
      <w:pPr>
        <w:spacing w:before="120"/>
        <w:jc w:val="center"/>
        <w:rPr>
          <w:rFonts w:ascii="Times New Roman" w:hAnsi="Times New Roman"/>
          <w:b/>
          <w:caps/>
          <w:snapToGrid w:val="0"/>
          <w:color w:val="000000"/>
          <w:sz w:val="48"/>
          <w:szCs w:val="48"/>
        </w:rPr>
      </w:pPr>
      <w:r w:rsidRPr="0038130A">
        <w:rPr>
          <w:rFonts w:ascii="Times New Roman" w:hAnsi="Times New Roman"/>
          <w:b/>
          <w:caps/>
          <w:snapToGrid w:val="0"/>
          <w:color w:val="000000"/>
          <w:sz w:val="48"/>
          <w:szCs w:val="48"/>
        </w:rPr>
        <w:t>Mariage des enfantS ET grossesses précoces</w:t>
      </w:r>
    </w:p>
    <w:p w:rsidR="0038130A" w:rsidRPr="0038130A" w:rsidRDefault="0038130A" w:rsidP="008870D4">
      <w:pPr>
        <w:tabs>
          <w:tab w:val="left" w:pos="142"/>
        </w:tabs>
        <w:spacing w:before="120"/>
        <w:jc w:val="center"/>
        <w:rPr>
          <w:rFonts w:ascii="Times New Roman" w:hAnsi="Times New Roman"/>
          <w:b/>
          <w:snapToGrid w:val="0"/>
          <w:color w:val="000000"/>
          <w:sz w:val="48"/>
          <w:szCs w:val="48"/>
        </w:rPr>
      </w:pPr>
    </w:p>
    <w:p w:rsidR="0038130A" w:rsidRDefault="0038130A" w:rsidP="008870D4">
      <w:pPr>
        <w:tabs>
          <w:tab w:val="left" w:pos="142"/>
        </w:tabs>
        <w:spacing w:before="120"/>
        <w:jc w:val="center"/>
        <w:rPr>
          <w:rFonts w:ascii="Times New Roman" w:hAnsi="Times New Roman"/>
          <w:b/>
          <w:snapToGrid w:val="0"/>
          <w:color w:val="000000"/>
          <w:sz w:val="44"/>
          <w:szCs w:val="44"/>
        </w:rPr>
      </w:pPr>
      <w:r>
        <w:rPr>
          <w:rFonts w:ascii="Times New Roman" w:hAnsi="Times New Roman"/>
          <w:b/>
          <w:snapToGrid w:val="0"/>
          <w:color w:val="000000"/>
          <w:sz w:val="44"/>
          <w:szCs w:val="44"/>
        </w:rPr>
        <w:t>YVES CHARBIT</w:t>
      </w:r>
    </w:p>
    <w:p w:rsidR="0038130A" w:rsidRDefault="0038130A" w:rsidP="008870D4">
      <w:pPr>
        <w:tabs>
          <w:tab w:val="left" w:pos="142"/>
        </w:tabs>
        <w:spacing w:before="120"/>
        <w:jc w:val="center"/>
        <w:rPr>
          <w:rFonts w:ascii="Times New Roman" w:hAnsi="Times New Roman"/>
          <w:b/>
          <w:caps/>
          <w:snapToGrid w:val="0"/>
          <w:color w:val="000000"/>
          <w:sz w:val="44"/>
          <w:szCs w:val="44"/>
        </w:rPr>
      </w:pPr>
      <w:r>
        <w:rPr>
          <w:rFonts w:ascii="Times New Roman" w:hAnsi="Times New Roman"/>
          <w:b/>
          <w:snapToGrid w:val="0"/>
          <w:color w:val="000000"/>
          <w:sz w:val="44"/>
          <w:szCs w:val="44"/>
        </w:rPr>
        <w:t>Consultant</w:t>
      </w:r>
    </w:p>
    <w:p w:rsidR="0038130A" w:rsidRDefault="0038130A" w:rsidP="008870D4">
      <w:pPr>
        <w:tabs>
          <w:tab w:val="left" w:pos="142"/>
        </w:tabs>
        <w:spacing w:before="120"/>
        <w:jc w:val="center"/>
        <w:rPr>
          <w:rFonts w:ascii="Times New Roman" w:hAnsi="Times New Roman"/>
          <w:b/>
          <w:caps/>
          <w:snapToGrid w:val="0"/>
          <w:color w:val="000000"/>
          <w:sz w:val="44"/>
          <w:szCs w:val="44"/>
        </w:rPr>
      </w:pPr>
    </w:p>
    <w:p w:rsidR="0038130A" w:rsidRDefault="0038130A" w:rsidP="008870D4">
      <w:pPr>
        <w:tabs>
          <w:tab w:val="left" w:pos="142"/>
        </w:tabs>
        <w:spacing w:before="120"/>
        <w:jc w:val="center"/>
        <w:rPr>
          <w:rFonts w:ascii="Times New Roman" w:hAnsi="Times New Roman"/>
          <w:b/>
          <w:caps/>
          <w:snapToGrid w:val="0"/>
          <w:color w:val="000000"/>
          <w:sz w:val="28"/>
          <w:szCs w:val="28"/>
        </w:rPr>
      </w:pPr>
    </w:p>
    <w:p w:rsidR="0038130A" w:rsidRDefault="0038130A" w:rsidP="008870D4">
      <w:pPr>
        <w:tabs>
          <w:tab w:val="left" w:pos="142"/>
        </w:tabs>
        <w:spacing w:before="120"/>
        <w:jc w:val="center"/>
        <w:rPr>
          <w:rFonts w:ascii="Times New Roman" w:hAnsi="Times New Roman"/>
          <w:b/>
          <w:caps/>
          <w:snapToGrid w:val="0"/>
          <w:color w:val="000000"/>
          <w:sz w:val="28"/>
          <w:szCs w:val="28"/>
        </w:rPr>
      </w:pPr>
    </w:p>
    <w:p w:rsidR="0038130A" w:rsidRDefault="0038130A" w:rsidP="008870D4">
      <w:pPr>
        <w:tabs>
          <w:tab w:val="left" w:pos="142"/>
        </w:tabs>
        <w:spacing w:before="120"/>
        <w:jc w:val="center"/>
        <w:rPr>
          <w:rFonts w:ascii="Times New Roman" w:hAnsi="Times New Roman"/>
          <w:b/>
          <w:caps/>
          <w:snapToGrid w:val="0"/>
          <w:color w:val="000000"/>
          <w:sz w:val="28"/>
          <w:szCs w:val="28"/>
        </w:rPr>
      </w:pPr>
    </w:p>
    <w:p w:rsidR="00B446D0" w:rsidRDefault="0038130A" w:rsidP="008870D4">
      <w:pPr>
        <w:tabs>
          <w:tab w:val="left" w:pos="142"/>
        </w:tabs>
        <w:spacing w:before="120"/>
        <w:jc w:val="center"/>
        <w:rPr>
          <w:rFonts w:ascii="Times New Roman" w:hAnsi="Times New Roman"/>
          <w:b/>
          <w:i/>
          <w:caps/>
          <w:snapToGrid w:val="0"/>
          <w:color w:val="000000"/>
          <w:sz w:val="28"/>
          <w:szCs w:val="28"/>
        </w:rPr>
      </w:pPr>
      <w:r>
        <w:rPr>
          <w:rFonts w:ascii="Times New Roman" w:hAnsi="Times New Roman"/>
          <w:b/>
          <w:i/>
          <w:caps/>
          <w:snapToGrid w:val="0"/>
          <w:color w:val="000000"/>
          <w:sz w:val="28"/>
          <w:szCs w:val="28"/>
        </w:rPr>
        <w:t>Version proviSOIRE du 23 09 2016</w:t>
      </w:r>
    </w:p>
    <w:p w:rsidR="0038130A" w:rsidRDefault="0038130A" w:rsidP="0038130A">
      <w:pPr>
        <w:tabs>
          <w:tab w:val="left" w:pos="142"/>
        </w:tabs>
        <w:spacing w:before="120"/>
        <w:jc w:val="both"/>
        <w:rPr>
          <w:rFonts w:ascii="Times New Roman" w:hAnsi="Times New Roman"/>
          <w:b/>
          <w:i/>
          <w:caps/>
          <w:snapToGrid w:val="0"/>
          <w:color w:val="000000"/>
          <w:sz w:val="28"/>
          <w:szCs w:val="28"/>
        </w:rPr>
      </w:pPr>
    </w:p>
    <w:p w:rsidR="0038130A" w:rsidRDefault="0038130A" w:rsidP="0038130A">
      <w:pPr>
        <w:tabs>
          <w:tab w:val="left" w:pos="142"/>
        </w:tabs>
        <w:spacing w:before="120"/>
        <w:jc w:val="both"/>
        <w:rPr>
          <w:rFonts w:ascii="Times New Roman" w:hAnsi="Times New Roman"/>
          <w:b/>
          <w:i/>
          <w:caps/>
          <w:snapToGrid w:val="0"/>
          <w:color w:val="000000"/>
          <w:sz w:val="28"/>
          <w:szCs w:val="28"/>
        </w:rPr>
      </w:pPr>
    </w:p>
    <w:p w:rsidR="0038130A" w:rsidRDefault="0038130A" w:rsidP="0038130A">
      <w:pPr>
        <w:tabs>
          <w:tab w:val="left" w:pos="142"/>
        </w:tabs>
        <w:spacing w:before="120"/>
        <w:jc w:val="both"/>
        <w:rPr>
          <w:rFonts w:ascii="Times New Roman" w:hAnsi="Times New Roman"/>
          <w:b/>
          <w:i/>
          <w:caps/>
          <w:snapToGrid w:val="0"/>
          <w:color w:val="000000"/>
          <w:sz w:val="28"/>
          <w:szCs w:val="28"/>
        </w:rPr>
      </w:pPr>
    </w:p>
    <w:p w:rsidR="0038130A" w:rsidRDefault="0038130A" w:rsidP="0038130A">
      <w:pPr>
        <w:tabs>
          <w:tab w:val="left" w:pos="142"/>
        </w:tabs>
        <w:spacing w:before="120"/>
        <w:jc w:val="both"/>
        <w:rPr>
          <w:rFonts w:ascii="Times New Roman" w:hAnsi="Times New Roman"/>
          <w:b/>
          <w:i/>
          <w:caps/>
          <w:snapToGrid w:val="0"/>
          <w:color w:val="000000"/>
          <w:sz w:val="28"/>
          <w:szCs w:val="28"/>
        </w:rPr>
      </w:pPr>
      <w:bookmarkStart w:id="0" w:name="_GoBack"/>
      <w:bookmarkEnd w:id="0"/>
    </w:p>
    <w:p w:rsidR="0038130A" w:rsidRDefault="0038130A" w:rsidP="0038130A">
      <w:pPr>
        <w:tabs>
          <w:tab w:val="left" w:pos="142"/>
        </w:tabs>
        <w:spacing w:before="120"/>
        <w:jc w:val="both"/>
        <w:rPr>
          <w:rFonts w:ascii="Times New Roman" w:hAnsi="Times New Roman"/>
          <w:b/>
          <w:i/>
          <w:caps/>
          <w:snapToGrid w:val="0"/>
          <w:color w:val="000000"/>
          <w:sz w:val="28"/>
          <w:szCs w:val="28"/>
        </w:rPr>
      </w:pPr>
    </w:p>
    <w:p w:rsidR="008870D4" w:rsidRDefault="008870D4">
      <w:pPr>
        <w:spacing w:after="200" w:line="276" w:lineRule="auto"/>
        <w:rPr>
          <w:rFonts w:ascii="Times New Roman" w:hAnsi="Times New Roman"/>
          <w:b/>
          <w:caps/>
          <w:snapToGrid w:val="0"/>
          <w:color w:val="000000"/>
          <w:sz w:val="24"/>
          <w:szCs w:val="24"/>
        </w:rPr>
      </w:pPr>
      <w:r>
        <w:rPr>
          <w:rFonts w:ascii="Times New Roman" w:hAnsi="Times New Roman"/>
          <w:b/>
          <w:caps/>
          <w:snapToGrid w:val="0"/>
          <w:color w:val="000000"/>
          <w:sz w:val="24"/>
          <w:szCs w:val="24"/>
        </w:rPr>
        <w:br w:type="page"/>
      </w:r>
    </w:p>
    <w:p w:rsidR="0038130A" w:rsidRPr="0022374B" w:rsidRDefault="0038130A" w:rsidP="0038130A">
      <w:pPr>
        <w:tabs>
          <w:tab w:val="left" w:pos="142"/>
        </w:tabs>
        <w:spacing w:before="120"/>
        <w:jc w:val="both"/>
        <w:rPr>
          <w:rFonts w:ascii="Times New Roman" w:hAnsi="Times New Roman"/>
          <w:b/>
          <w:caps/>
          <w:snapToGrid w:val="0"/>
          <w:color w:val="000000"/>
          <w:sz w:val="24"/>
          <w:szCs w:val="24"/>
        </w:rPr>
      </w:pPr>
    </w:p>
    <w:p w:rsidR="00B446D0" w:rsidRPr="008870D4" w:rsidRDefault="00B446D0" w:rsidP="0038130A">
      <w:pPr>
        <w:pStyle w:val="Paragraphedeliste"/>
        <w:numPr>
          <w:ilvl w:val="0"/>
          <w:numId w:val="47"/>
        </w:numPr>
        <w:spacing w:before="120"/>
        <w:jc w:val="both"/>
        <w:rPr>
          <w:rFonts w:ascii="Times New Roman" w:hAnsi="Times New Roman"/>
          <w:b/>
          <w:bCs/>
          <w:sz w:val="28"/>
          <w:szCs w:val="28"/>
        </w:rPr>
      </w:pPr>
      <w:r w:rsidRPr="008870D4">
        <w:rPr>
          <w:rFonts w:ascii="Times New Roman" w:hAnsi="Times New Roman"/>
          <w:b/>
          <w:bCs/>
          <w:sz w:val="28"/>
          <w:szCs w:val="28"/>
        </w:rPr>
        <w:t xml:space="preserve">PROBLEMATIQUE ET HYPOTHESES RELATIVES AU </w:t>
      </w:r>
      <w:r w:rsidRPr="008870D4">
        <w:rPr>
          <w:rFonts w:ascii="Times New Roman" w:hAnsi="Times New Roman"/>
          <w:b/>
          <w:caps/>
          <w:snapToGrid w:val="0"/>
          <w:color w:val="000000"/>
          <w:sz w:val="28"/>
          <w:szCs w:val="28"/>
        </w:rPr>
        <w:t>Mariage des enfants et AUX grossesses précoces</w:t>
      </w:r>
    </w:p>
    <w:p w:rsidR="00B446D0" w:rsidRPr="0022374B" w:rsidRDefault="00B446D0" w:rsidP="0038130A">
      <w:pPr>
        <w:shd w:val="clear" w:color="auto" w:fill="FFFFFF"/>
        <w:tabs>
          <w:tab w:val="left" w:pos="142"/>
        </w:tabs>
        <w:spacing w:before="120"/>
        <w:jc w:val="both"/>
        <w:rPr>
          <w:rFonts w:ascii="Times New Roman" w:hAnsi="Times New Roman"/>
          <w:sz w:val="24"/>
          <w:szCs w:val="24"/>
        </w:rPr>
      </w:pP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Dans le contexte du Bénin comme de l’Afrique de l’ouest, la fertilité de la femme est une valeur centrale. En effet, le nombre d'enfants qu'a une femme joue beaucoup sur son statut dans la famille et dans la société entière d’où une</w:t>
      </w:r>
      <w:r w:rsidRPr="0022374B">
        <w:rPr>
          <w:rFonts w:ascii="Times New Roman" w:eastAsia="Calibri" w:hAnsi="Times New Roman"/>
          <w:sz w:val="24"/>
          <w:szCs w:val="24"/>
        </w:rPr>
        <w:t xml:space="preserve"> nuptialité et une fécondité précoces. Dans la perspective de cette consultation, la question est de savoir si cette nuptialité et cette fécondité précoces sont associées à un profil socio-économique particulier, susceptibles d'influencer négativement le développement. </w:t>
      </w:r>
      <w:r w:rsidRPr="0022374B">
        <w:rPr>
          <w:rFonts w:ascii="Times New Roman" w:hAnsi="Times New Roman"/>
          <w:sz w:val="24"/>
          <w:szCs w:val="24"/>
        </w:rPr>
        <w:t xml:space="preserve">Une des hypothèses possibles est que ces femmes constituent une population à risque, caractérisée par des handicaps socio-démographiques et socio-économiques, ce qui ne favorise pas leur autonomie. </w:t>
      </w:r>
    </w:p>
    <w:p w:rsidR="00B446D0" w:rsidRPr="0022374B" w:rsidRDefault="00B446D0" w:rsidP="0022374B">
      <w:pPr>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Comme pour le thème 1, la vulnérabilité est fonction des risques encourus, de l’exposition d’un sujet au risque, de la sensibilité de ses moyens d’existence à ces risques et de sa capacité à utiliser ses avoirs et ses compétences pour faire face à ces risques et s’y adapter. </w:t>
      </w:r>
    </w:p>
    <w:p w:rsidR="00B446D0" w:rsidRPr="0022374B" w:rsidRDefault="00B446D0" w:rsidP="0022374B">
      <w:pPr>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Les adolescents sont définis comme les garçons et les filles âgés de 10-19 ans en 2014, et les données de la MICS 2014 permettent d’informer certaines de ces dimensions à l’adolescence et en particulier </w:t>
      </w:r>
      <w:r w:rsidRPr="0022374B">
        <w:rPr>
          <w:rFonts w:ascii="Times New Roman" w:hAnsi="Times New Roman"/>
          <w:i/>
          <w:sz w:val="24"/>
          <w:szCs w:val="24"/>
        </w:rPr>
        <w:t xml:space="preserve">les comportements à risque des adolescents lors de l'entrée en union et du début de la vie féconde, tout à la fois causes et conséquences de la vulnérabilité. </w:t>
      </w:r>
      <w:r w:rsidRPr="0022374B">
        <w:rPr>
          <w:rFonts w:ascii="Times New Roman" w:hAnsi="Times New Roman"/>
          <w:sz w:val="24"/>
          <w:szCs w:val="24"/>
        </w:rPr>
        <w:t xml:space="preserve">Les variables indépendantes d'analyse vont conduire à nuancer la fréquence de ce comportement qui traduit clairement la vulnérabilité des adolescents.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Les jeunes adultes de 20-24 ans constituent un groupe de contrôle, dans la mesure où la vulnérabilité d’ordre sexuel et celle d’ordre économique diminuent avec l’entrée dans le mariage et l’entrée sur le marché du travail.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En outre, les adolescentes ont une vulnérabilité plus grande que les garçons. Celle-ci est liée à des facteurs sociologiques tels que l'importance plus grande apportée à l'éducation des garçons par rapport aux filles.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La stratégie prend aussi en compte </w:t>
      </w:r>
      <w:r w:rsidRPr="0022374B">
        <w:rPr>
          <w:rFonts w:ascii="Times New Roman" w:hAnsi="Times New Roman"/>
          <w:i/>
          <w:sz w:val="24"/>
          <w:szCs w:val="24"/>
        </w:rPr>
        <w:t xml:space="preserve">l'urbanisation croissante du Bénin, qui va influer sur la vulnérabilité des adolescents. </w:t>
      </w:r>
      <w:r w:rsidRPr="0022374B">
        <w:rPr>
          <w:rFonts w:ascii="Times New Roman" w:hAnsi="Times New Roman"/>
          <w:sz w:val="24"/>
          <w:szCs w:val="24"/>
        </w:rPr>
        <w:t>En effet la population urbaine va passer de 44 % en 2015 à 51 % en 2030. L’urbanisation peut constituer un facteur d’aggravation ou au contraire de réduction de la vulnérabilité.</w:t>
      </w:r>
    </w:p>
    <w:p w:rsidR="00B446D0" w:rsidRPr="0022374B" w:rsidRDefault="00B446D0" w:rsidP="0022374B">
      <w:pPr>
        <w:shd w:val="clear" w:color="auto" w:fill="FFFFFF"/>
        <w:tabs>
          <w:tab w:val="left" w:pos="142"/>
        </w:tabs>
        <w:autoSpaceDE w:val="0"/>
        <w:autoSpaceDN w:val="0"/>
        <w:adjustRightInd w:val="0"/>
        <w:spacing w:before="120"/>
        <w:jc w:val="both"/>
        <w:rPr>
          <w:rFonts w:ascii="Times New Roman" w:hAnsi="Times New Roman"/>
          <w:sz w:val="24"/>
          <w:szCs w:val="24"/>
        </w:rPr>
      </w:pPr>
      <w:r w:rsidRPr="0022374B">
        <w:rPr>
          <w:rFonts w:ascii="Times New Roman" w:hAnsi="Times New Roman"/>
          <w:sz w:val="24"/>
          <w:szCs w:val="24"/>
        </w:rPr>
        <w:t xml:space="preserve">Pour les trois grands sous-thèmes, nous avons repris systématiquement les mêmes hypothèses, puisque nous privilégions l’analyse de la vulnérabilité des adolescentes. Il était donc nécessaire de vérifier que cette vulnérabilité s’observait aux différentes étapes du cycle de vie, le mariage, la grossesse et le suivi pré- et postnatal, les soins apportés aux enfants et en particulier l’allaitement et la nutrition. </w:t>
      </w:r>
    </w:p>
    <w:p w:rsidR="00B446D0" w:rsidRPr="0022374B" w:rsidRDefault="00B446D0" w:rsidP="0022374B">
      <w:pPr>
        <w:shd w:val="clear" w:color="auto" w:fill="FFFFFF"/>
        <w:tabs>
          <w:tab w:val="left" w:pos="142"/>
        </w:tabs>
        <w:spacing w:before="120"/>
        <w:jc w:val="both"/>
        <w:rPr>
          <w:rFonts w:ascii="Times New Roman" w:hAnsi="Times New Roman"/>
          <w:b/>
          <w:sz w:val="24"/>
          <w:szCs w:val="24"/>
        </w:rPr>
      </w:pPr>
      <w:r w:rsidRPr="0022374B">
        <w:rPr>
          <w:rFonts w:ascii="Times New Roman" w:hAnsi="Times New Roman"/>
          <w:b/>
          <w:sz w:val="24"/>
          <w:szCs w:val="24"/>
        </w:rPr>
        <w:t>1/ Le mariages des enfants</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Hypothèse 1 : Les adolescentes de milieu défavorisé, par rapport à celles de milieu favorisé, sont mariées jeunes, ont un écart d’âge plus élevé avec leur conjoint, et sont plus souvent en union polygamique.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lastRenderedPageBreak/>
        <w:t xml:space="preserve">Hypothèse 2 : Par rapport aux jeunes adultes (20-24 ans) les adolescentes ont un écart d’âge plus élevé avec leur conjoint, et sont plus souvent en union polygamique.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Hypothèse 3 : Les adolescentes vivant à Cotonou, par rapport à celles vivant en milieu rural, ont un écart d’âge plus élevé avec leur conjoint, et sont plus souvent en union polygamique.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b/>
          <w:sz w:val="24"/>
          <w:szCs w:val="24"/>
        </w:rPr>
        <w:t>2/ Les grossesses précoces</w:t>
      </w:r>
      <w:r w:rsidRPr="0022374B">
        <w:rPr>
          <w:rFonts w:ascii="Times New Roman" w:hAnsi="Times New Roman"/>
          <w:sz w:val="24"/>
          <w:szCs w:val="24"/>
        </w:rPr>
        <w:t xml:space="preserve">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 xml:space="preserve">Hypothèse 1 : Les adolescentes de milieu défavorisé ont plus fréquemment que les autres des grossesses précoces et leur suivi pré- et postnatal est moins bon. </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Hypothèse 2 : Par rapport aux jeunes adultes (20-24 ans) les adolescentes ont plus fréquemment que les autres des grossesses précoces et leur suivi pré- et postnatal est moins bon.</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Hypothèse 3: Les adolescentes vivant à Cotonou, par rapport à celles vivant en milieu rural ont plus fréquemment des grossesses précoces et leur suivi pré- et postnatal est moins bon.</w:t>
      </w:r>
    </w:p>
    <w:p w:rsidR="00B446D0" w:rsidRPr="0022374B" w:rsidRDefault="00B446D0" w:rsidP="0022374B">
      <w:pPr>
        <w:shd w:val="clear" w:color="auto" w:fill="FFFFFF"/>
        <w:tabs>
          <w:tab w:val="left" w:pos="142"/>
        </w:tabs>
        <w:spacing w:before="120"/>
        <w:jc w:val="both"/>
        <w:rPr>
          <w:rFonts w:ascii="Times New Roman" w:hAnsi="Times New Roman"/>
          <w:b/>
          <w:sz w:val="24"/>
          <w:szCs w:val="24"/>
        </w:rPr>
      </w:pPr>
      <w:r w:rsidRPr="0022374B">
        <w:rPr>
          <w:rFonts w:ascii="Times New Roman" w:hAnsi="Times New Roman"/>
          <w:b/>
          <w:sz w:val="24"/>
          <w:szCs w:val="24"/>
        </w:rPr>
        <w:t>3/Poids à la naissance et Allaitement précoce et exclusif</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Hypothèse 1 : Les enfants nés des adolescentes de milieu défavorisé sont plus souvent d’un poids insuffisant à la naissance, par rapport à celles de milieu favorisé. Elles pratiquent moins souvent l’allaitement précoce et exclusif.</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Hypothèse 2 : Par rapport à ceux nés des jeunes mères adultes (20-24 ans), les enfants nés des adolescentes de milieu défavorisé sont plus souvent d’un poids insuffisant à la naissance, par rapport à celles de milieu favorisé. Elles pratiquent moins souvent l’allaitement précoce et exclusif.</w:t>
      </w:r>
    </w:p>
    <w:p w:rsidR="00B446D0" w:rsidRPr="0022374B" w:rsidRDefault="00B446D0" w:rsidP="0022374B">
      <w:pPr>
        <w:shd w:val="clear" w:color="auto" w:fill="FFFFFF"/>
        <w:tabs>
          <w:tab w:val="left" w:pos="142"/>
        </w:tabs>
        <w:spacing w:before="120"/>
        <w:jc w:val="both"/>
        <w:rPr>
          <w:rFonts w:ascii="Times New Roman" w:hAnsi="Times New Roman"/>
          <w:sz w:val="24"/>
          <w:szCs w:val="24"/>
        </w:rPr>
      </w:pPr>
      <w:r w:rsidRPr="0022374B">
        <w:rPr>
          <w:rFonts w:ascii="Times New Roman" w:hAnsi="Times New Roman"/>
          <w:sz w:val="24"/>
          <w:szCs w:val="24"/>
        </w:rPr>
        <w:t>Hypothèse 3: Par rapport à ceux nés en milieu rural, les enfants nés des adolescentes vivant à Cotonou sont plus souvent d’un poids insuffisant à la naissance. Elles pratiquent moins souvent l’allaitement précoce et exclusif.</w:t>
      </w:r>
    </w:p>
    <w:p w:rsidR="0038130A" w:rsidRDefault="0038130A">
      <w:pPr>
        <w:spacing w:after="200" w:line="276" w:lineRule="auto"/>
        <w:rPr>
          <w:rFonts w:ascii="Times New Roman" w:hAnsi="Times New Roman"/>
          <w:b/>
          <w:sz w:val="24"/>
          <w:szCs w:val="24"/>
        </w:rPr>
      </w:pPr>
      <w:r>
        <w:rPr>
          <w:rFonts w:ascii="Times New Roman" w:hAnsi="Times New Roman"/>
          <w:b/>
          <w:sz w:val="24"/>
          <w:szCs w:val="24"/>
        </w:rPr>
        <w:br w:type="page"/>
      </w:r>
    </w:p>
    <w:p w:rsidR="00B446D0" w:rsidRPr="0038130A" w:rsidRDefault="00B446D0" w:rsidP="0038130A">
      <w:pPr>
        <w:shd w:val="clear" w:color="auto" w:fill="FFFFFF"/>
        <w:tabs>
          <w:tab w:val="left" w:pos="142"/>
          <w:tab w:val="left" w:pos="284"/>
        </w:tabs>
        <w:suppressAutoHyphens/>
        <w:spacing w:before="120"/>
        <w:jc w:val="both"/>
        <w:rPr>
          <w:rFonts w:ascii="Times New Roman" w:hAnsi="Times New Roman"/>
          <w:b/>
          <w:sz w:val="28"/>
          <w:szCs w:val="28"/>
        </w:rPr>
      </w:pPr>
    </w:p>
    <w:p w:rsidR="00B446D0" w:rsidRPr="0038130A" w:rsidRDefault="0038130A" w:rsidP="0038130A">
      <w:pPr>
        <w:shd w:val="clear" w:color="auto" w:fill="FFFFFF"/>
        <w:tabs>
          <w:tab w:val="left" w:pos="142"/>
          <w:tab w:val="left" w:pos="284"/>
        </w:tabs>
        <w:suppressAutoHyphens/>
        <w:spacing w:before="120"/>
        <w:jc w:val="both"/>
        <w:rPr>
          <w:rFonts w:ascii="Times New Roman" w:hAnsi="Times New Roman"/>
          <w:b/>
          <w:sz w:val="28"/>
          <w:szCs w:val="28"/>
        </w:rPr>
      </w:pPr>
      <w:r w:rsidRPr="0038130A">
        <w:rPr>
          <w:rFonts w:ascii="Times New Roman" w:hAnsi="Times New Roman"/>
          <w:b/>
          <w:sz w:val="28"/>
          <w:szCs w:val="28"/>
        </w:rPr>
        <w:t>II</w:t>
      </w:r>
      <w:r w:rsidR="00B446D0" w:rsidRPr="0038130A">
        <w:rPr>
          <w:rFonts w:ascii="Times New Roman" w:hAnsi="Times New Roman"/>
          <w:b/>
          <w:sz w:val="28"/>
          <w:szCs w:val="28"/>
        </w:rPr>
        <w:t>. PLAN D'ANALYSE DU RAPPORT, LISTE DES TABLEAUX ET GRAPHIQUES</w:t>
      </w:r>
    </w:p>
    <w:p w:rsidR="00B446D0" w:rsidRPr="0022374B" w:rsidRDefault="00B446D0" w:rsidP="0038130A">
      <w:pPr>
        <w:widowControl w:val="0"/>
        <w:spacing w:before="120"/>
        <w:jc w:val="both"/>
        <w:rPr>
          <w:rFonts w:ascii="Times New Roman" w:hAnsi="Times New Roman"/>
          <w:b/>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spacing w:before="120"/>
        <w:jc w:val="both"/>
        <w:rPr>
          <w:rFonts w:ascii="Times New Roman" w:hAnsi="Times New Roman"/>
          <w:b/>
          <w:sz w:val="24"/>
          <w:szCs w:val="24"/>
        </w:rPr>
      </w:pPr>
      <w:r w:rsidRPr="0022374B">
        <w:rPr>
          <w:rFonts w:ascii="Times New Roman" w:hAnsi="Times New Roman"/>
          <w:b/>
          <w:sz w:val="24"/>
          <w:szCs w:val="24"/>
        </w:rPr>
        <w:t xml:space="preserve">SOUS-THEME 2.1 MARIAGES DES ENFANTS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1. INTRODUCTION</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2. ENTREE EN UNION PRECOCE DES FEMMES </w:t>
      </w:r>
    </w:p>
    <w:p w:rsidR="00B446D0" w:rsidRPr="0022374B" w:rsidRDefault="00B446D0" w:rsidP="0022374B">
      <w:pPr>
        <w:widowControl w:val="0"/>
        <w:spacing w:before="120"/>
        <w:jc w:val="both"/>
        <w:rPr>
          <w:rFonts w:ascii="Times New Roman" w:hAnsi="Times New Roman"/>
          <w:spacing w:val="30"/>
          <w:sz w:val="24"/>
          <w:szCs w:val="24"/>
        </w:rPr>
      </w:pPr>
      <w:r w:rsidRPr="0022374B">
        <w:rPr>
          <w:rFonts w:ascii="Times New Roman" w:hAnsi="Times New Roman"/>
          <w:spacing w:val="30"/>
          <w:sz w:val="24"/>
          <w:szCs w:val="24"/>
        </w:rPr>
        <w:t>Graphique</w:t>
      </w:r>
      <w:r w:rsidRPr="0022374B">
        <w:rPr>
          <w:rFonts w:ascii="Times New Roman" w:hAnsi="Times New Roman"/>
          <w:color w:val="000000"/>
          <w:sz w:val="24"/>
          <w:szCs w:val="24"/>
          <w:lang w:eastAsia="zh-TW"/>
        </w:rPr>
        <w:t> </w:t>
      </w:r>
      <w:r w:rsidRPr="0022374B">
        <w:rPr>
          <w:rFonts w:ascii="Times New Roman" w:hAnsi="Times New Roman"/>
          <w:spacing w:val="30"/>
          <w:sz w:val="24"/>
          <w:szCs w:val="24"/>
        </w:rPr>
        <w:t>CP.3 : Mariage des enfants chez les femmes, Bénin, 2014</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Tableau CP.0  Entrée en union précoce selon la cohorte d’âge</w:t>
      </w:r>
      <w:r w:rsidRPr="0022374B">
        <w:rPr>
          <w:rFonts w:ascii="Times New Roman" w:hAnsi="Times New Roman"/>
          <w:bCs/>
          <w:sz w:val="24"/>
          <w:szCs w:val="24"/>
        </w:rPr>
        <w:t xml:space="preserv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Tableau CP.7A. Entrée en union précoce des femmes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3. ENTREE EN UNION PRECOCE DES HOMMES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Tableau CP.7B. Entrée en union précoce des hommes</w:t>
      </w:r>
    </w:p>
    <w:p w:rsidR="00B446D0" w:rsidRPr="0022374B" w:rsidRDefault="00B446D0" w:rsidP="0022374B">
      <w:pPr>
        <w:widowControl w:val="0"/>
        <w:spacing w:before="120"/>
        <w:jc w:val="both"/>
        <w:rPr>
          <w:rFonts w:ascii="Times New Roman" w:hAnsi="Times New Roman"/>
          <w:spacing w:val="30"/>
          <w:sz w:val="24"/>
          <w:szCs w:val="24"/>
        </w:rPr>
      </w:pPr>
      <w:r w:rsidRPr="0022374B">
        <w:rPr>
          <w:rFonts w:ascii="Times New Roman" w:hAnsi="Times New Roman"/>
          <w:sz w:val="24"/>
          <w:szCs w:val="24"/>
        </w:rPr>
        <w:t xml:space="preserve">Tableau CP.7C. </w:t>
      </w:r>
      <w:r w:rsidRPr="0022374B">
        <w:rPr>
          <w:rFonts w:ascii="Times New Roman" w:hAnsi="Times New Roman"/>
          <w:spacing w:val="30"/>
          <w:sz w:val="24"/>
          <w:szCs w:val="24"/>
        </w:rPr>
        <w:t>Répartition des hommes mariés avant 15 ans</w:t>
      </w:r>
    </w:p>
    <w:p w:rsidR="00B446D0" w:rsidRPr="0022374B" w:rsidRDefault="00B446D0" w:rsidP="0022374B">
      <w:pPr>
        <w:widowControl w:val="0"/>
        <w:spacing w:before="120"/>
        <w:jc w:val="both"/>
        <w:rPr>
          <w:rFonts w:ascii="Times New Roman" w:hAnsi="Times New Roman"/>
          <w:noProof/>
          <w:sz w:val="24"/>
          <w:szCs w:val="24"/>
        </w:rPr>
      </w:pPr>
    </w:p>
    <w:p w:rsidR="00B446D0" w:rsidRPr="0022374B" w:rsidRDefault="00B446D0" w:rsidP="0022374B">
      <w:pPr>
        <w:widowControl w:val="0"/>
        <w:spacing w:before="120"/>
        <w:jc w:val="both"/>
        <w:rPr>
          <w:rFonts w:ascii="Times New Roman" w:hAnsi="Times New Roman"/>
          <w:b/>
          <w:noProof/>
          <w:sz w:val="24"/>
          <w:szCs w:val="24"/>
        </w:rPr>
      </w:pPr>
      <w:r w:rsidRPr="0022374B">
        <w:rPr>
          <w:rFonts w:ascii="Times New Roman" w:hAnsi="Times New Roman"/>
          <w:b/>
          <w:noProof/>
          <w:sz w:val="24"/>
          <w:szCs w:val="24"/>
        </w:rPr>
        <w:t xml:space="preserve">4. ECART D’AGE ET POLYGAMIE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4.1 Relation entre écart d’âge et polygamie</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sz w:val="24"/>
          <w:szCs w:val="24"/>
        </w:rPr>
        <w:t>Tableau  CP. 9A Relation entre écart d’âge et polygamie</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4.2 Analyse différentielle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Tableau CP.9B  Différences d’âge entre conjoints et polygamie.</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5. SYNTHESE ET RECOMMANDATIONS PROGRAMMATIQUES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Tableau de synthèse 1. Spécificité des adolescentes par rapport aux Jeunes adultes et à  l’Ensemble des femmes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Tableau de synthèse 2. Profils de vulnérabilité des  adolescentes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spacing w:before="120"/>
        <w:jc w:val="both"/>
        <w:rPr>
          <w:rFonts w:ascii="Times New Roman" w:hAnsi="Times New Roman"/>
          <w:b/>
          <w:sz w:val="24"/>
          <w:szCs w:val="24"/>
        </w:rPr>
      </w:pPr>
      <w:r w:rsidRPr="0022374B">
        <w:rPr>
          <w:rFonts w:ascii="Times New Roman" w:hAnsi="Times New Roman"/>
          <w:b/>
          <w:sz w:val="24"/>
          <w:szCs w:val="24"/>
        </w:rPr>
        <w:t>SOUS-THEME 2.2 GROSSESSES PRECOCES ET SOINS PRENATALS DES MERES ADOLESCENTES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pStyle w:val="Paragraphedeliste"/>
        <w:widowControl w:val="0"/>
        <w:numPr>
          <w:ilvl w:val="0"/>
          <w:numId w:val="1"/>
        </w:numPr>
        <w:spacing w:before="120" w:after="0" w:line="240" w:lineRule="auto"/>
        <w:ind w:left="0" w:firstLine="0"/>
        <w:jc w:val="both"/>
        <w:rPr>
          <w:rFonts w:ascii="Times New Roman" w:hAnsi="Times New Roman"/>
          <w:b/>
          <w:sz w:val="24"/>
          <w:szCs w:val="24"/>
        </w:rPr>
      </w:pPr>
      <w:r w:rsidRPr="0022374B">
        <w:rPr>
          <w:rFonts w:ascii="Times New Roman" w:hAnsi="Times New Roman"/>
          <w:b/>
          <w:sz w:val="24"/>
          <w:szCs w:val="24"/>
        </w:rPr>
        <w:t xml:space="preserve">ENTREE DANS LA VIE FECONDE ET GROSSESSES PRECOCES </w:t>
      </w:r>
    </w:p>
    <w:p w:rsidR="00B446D0" w:rsidRPr="0022374B" w:rsidRDefault="00B446D0" w:rsidP="0022374B">
      <w:pPr>
        <w:pStyle w:val="Paragraphedeliste"/>
        <w:widowControl w:val="0"/>
        <w:spacing w:before="120" w:after="0" w:line="240" w:lineRule="auto"/>
        <w:ind w:left="0"/>
        <w:jc w:val="both"/>
        <w:rPr>
          <w:rFonts w:ascii="Times New Roman" w:hAnsi="Times New Roman"/>
          <w:b/>
          <w:sz w:val="24"/>
          <w:szCs w:val="24"/>
        </w:rPr>
      </w:pPr>
    </w:p>
    <w:p w:rsidR="00B446D0" w:rsidRPr="0022374B" w:rsidRDefault="00B446D0" w:rsidP="0022374B">
      <w:pPr>
        <w:pStyle w:val="Paragraphedeliste"/>
        <w:widowControl w:val="0"/>
        <w:numPr>
          <w:ilvl w:val="1"/>
          <w:numId w:val="2"/>
        </w:numPr>
        <w:spacing w:before="120" w:after="0" w:line="240" w:lineRule="auto"/>
        <w:ind w:left="0" w:firstLine="0"/>
        <w:jc w:val="both"/>
        <w:rPr>
          <w:rFonts w:ascii="Times New Roman" w:hAnsi="Times New Roman"/>
          <w:b/>
          <w:bCs/>
          <w:iCs/>
          <w:sz w:val="24"/>
          <w:szCs w:val="24"/>
        </w:rPr>
      </w:pPr>
      <w:r w:rsidRPr="0022374B">
        <w:rPr>
          <w:rFonts w:ascii="Times New Roman" w:hAnsi="Times New Roman"/>
          <w:b/>
          <w:bCs/>
          <w:sz w:val="24"/>
          <w:szCs w:val="24"/>
        </w:rPr>
        <w:t xml:space="preserve">Analyse sociodémographique des relations entre entrée dans la vie </w:t>
      </w:r>
      <w:r w:rsidRPr="0022374B">
        <w:rPr>
          <w:rFonts w:ascii="Times New Roman" w:hAnsi="Times New Roman"/>
          <w:b/>
          <w:sz w:val="24"/>
          <w:szCs w:val="24"/>
        </w:rPr>
        <w:t xml:space="preserve">féconde et </w:t>
      </w:r>
      <w:r w:rsidRPr="0022374B">
        <w:rPr>
          <w:rFonts w:ascii="Times New Roman" w:hAnsi="Times New Roman"/>
          <w:b/>
          <w:sz w:val="24"/>
          <w:szCs w:val="24"/>
        </w:rPr>
        <w:lastRenderedPageBreak/>
        <w:t xml:space="preserve">grossesse précoce </w:t>
      </w:r>
    </w:p>
    <w:p w:rsidR="00B446D0" w:rsidRPr="0022374B" w:rsidRDefault="00B446D0" w:rsidP="0022374B">
      <w:pPr>
        <w:pStyle w:val="Paragraphedeliste"/>
        <w:widowControl w:val="0"/>
        <w:spacing w:before="120" w:after="0" w:line="240" w:lineRule="auto"/>
        <w:ind w:left="0"/>
        <w:jc w:val="both"/>
        <w:rPr>
          <w:rFonts w:ascii="Times New Roman" w:hAnsi="Times New Roman"/>
          <w:b/>
          <w:bCs/>
          <w:iCs/>
          <w:sz w:val="24"/>
          <w:szCs w:val="24"/>
        </w:rPr>
      </w:pPr>
    </w:p>
    <w:p w:rsidR="00B446D0" w:rsidRPr="0022374B" w:rsidRDefault="00B446D0" w:rsidP="0022374B">
      <w:pPr>
        <w:pStyle w:val="Paragraphedeliste"/>
        <w:widowControl w:val="0"/>
        <w:numPr>
          <w:ilvl w:val="1"/>
          <w:numId w:val="2"/>
        </w:numPr>
        <w:spacing w:before="120" w:after="0" w:line="240" w:lineRule="auto"/>
        <w:ind w:left="0" w:firstLine="0"/>
        <w:jc w:val="both"/>
        <w:rPr>
          <w:rFonts w:ascii="Times New Roman" w:hAnsi="Times New Roman"/>
          <w:b/>
          <w:sz w:val="24"/>
          <w:szCs w:val="24"/>
        </w:rPr>
      </w:pPr>
      <w:r w:rsidRPr="0022374B">
        <w:rPr>
          <w:rFonts w:ascii="Times New Roman" w:hAnsi="Times New Roman"/>
          <w:b/>
          <w:bCs/>
          <w:sz w:val="24"/>
          <w:szCs w:val="24"/>
        </w:rPr>
        <w:t xml:space="preserve"> Facteurs influant sur l’entrée dans la vie </w:t>
      </w:r>
      <w:r w:rsidRPr="0022374B">
        <w:rPr>
          <w:rFonts w:ascii="Times New Roman" w:hAnsi="Times New Roman"/>
          <w:b/>
          <w:sz w:val="24"/>
          <w:szCs w:val="24"/>
        </w:rPr>
        <w:t xml:space="preserve">féconde et les grossesses précoces </w:t>
      </w:r>
    </w:p>
    <w:p w:rsidR="00B446D0" w:rsidRPr="0022374B" w:rsidRDefault="00B446D0" w:rsidP="0022374B">
      <w:pPr>
        <w:widowControl w:val="0"/>
        <w:tabs>
          <w:tab w:val="left" w:pos="142"/>
          <w:tab w:val="left" w:pos="284"/>
        </w:tabs>
        <w:suppressAutoHyphens/>
        <w:spacing w:before="120"/>
        <w:jc w:val="both"/>
        <w:rPr>
          <w:rFonts w:ascii="Times New Roman" w:hAnsi="Times New Roman"/>
          <w:sz w:val="24"/>
          <w:szCs w:val="24"/>
        </w:rPr>
      </w:pPr>
      <w:r w:rsidRPr="0022374B">
        <w:rPr>
          <w:rFonts w:ascii="Times New Roman" w:hAnsi="Times New Roman"/>
          <w:bCs/>
          <w:sz w:val="24"/>
          <w:szCs w:val="24"/>
        </w:rPr>
        <w:t xml:space="preserve">Tableau RH.3 : Entrée dans la vie </w:t>
      </w:r>
      <w:r w:rsidRPr="0022374B">
        <w:rPr>
          <w:rFonts w:ascii="Times New Roman" w:hAnsi="Times New Roman"/>
          <w:sz w:val="24"/>
          <w:szCs w:val="24"/>
        </w:rPr>
        <w:t>féconde et g</w:t>
      </w:r>
      <w:r w:rsidRPr="0022374B">
        <w:rPr>
          <w:rFonts w:ascii="Times New Roman" w:hAnsi="Times New Roman"/>
          <w:bCs/>
          <w:sz w:val="24"/>
          <w:szCs w:val="24"/>
        </w:rPr>
        <w:t xml:space="preserve">rossesses précoces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pStyle w:val="Corpsdetexte"/>
        <w:widowControl w:val="0"/>
        <w:numPr>
          <w:ilvl w:val="0"/>
          <w:numId w:val="1"/>
        </w:numPr>
        <w:spacing w:before="120" w:after="0"/>
        <w:ind w:left="0" w:firstLine="0"/>
        <w:jc w:val="both"/>
        <w:rPr>
          <w:rFonts w:ascii="Times New Roman" w:hAnsi="Times New Roman"/>
          <w:b/>
          <w:sz w:val="24"/>
          <w:szCs w:val="24"/>
        </w:rPr>
      </w:pPr>
      <w:r w:rsidRPr="0022374B">
        <w:rPr>
          <w:rFonts w:ascii="Times New Roman" w:hAnsi="Times New Roman"/>
          <w:b/>
          <w:sz w:val="24"/>
          <w:szCs w:val="24"/>
        </w:rPr>
        <w:t xml:space="preserve">SOINS PRENATALS </w:t>
      </w:r>
    </w:p>
    <w:p w:rsidR="00B446D0" w:rsidRPr="0022374B" w:rsidRDefault="00B446D0" w:rsidP="0022374B">
      <w:pPr>
        <w:pStyle w:val="Corpsdetexte"/>
        <w:tabs>
          <w:tab w:val="left" w:pos="720"/>
        </w:tabs>
        <w:spacing w:before="120" w:after="0"/>
        <w:jc w:val="both"/>
        <w:rPr>
          <w:rFonts w:ascii="Times New Roman" w:hAnsi="Times New Roman"/>
          <w:b/>
          <w:bCs/>
          <w:sz w:val="24"/>
          <w:szCs w:val="24"/>
        </w:rPr>
      </w:pPr>
    </w:p>
    <w:p w:rsidR="00B446D0" w:rsidRPr="0022374B" w:rsidRDefault="00B446D0" w:rsidP="0022374B">
      <w:pPr>
        <w:pStyle w:val="Corpsdetexte"/>
        <w:tabs>
          <w:tab w:val="left" w:pos="720"/>
        </w:tabs>
        <w:spacing w:before="120" w:after="0"/>
        <w:jc w:val="both"/>
        <w:rPr>
          <w:rFonts w:ascii="Times New Roman" w:hAnsi="Times New Roman"/>
          <w:b/>
          <w:bCs/>
          <w:sz w:val="24"/>
          <w:szCs w:val="24"/>
        </w:rPr>
      </w:pPr>
      <w:r w:rsidRPr="0022374B">
        <w:rPr>
          <w:rFonts w:ascii="Times New Roman" w:hAnsi="Times New Roman"/>
          <w:b/>
          <w:bCs/>
          <w:sz w:val="24"/>
          <w:szCs w:val="24"/>
        </w:rPr>
        <w:t>2.1 Couverture des soins prénatals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Tableau</w:t>
      </w:r>
      <w:r w:rsidRPr="0022374B">
        <w:rPr>
          <w:rFonts w:ascii="Times New Roman" w:hAnsi="Times New Roman"/>
          <w:sz w:val="24"/>
          <w:szCs w:val="24"/>
        </w:rPr>
        <w:t xml:space="preserve"> RH.7 </w:t>
      </w:r>
      <w:r w:rsidRPr="0022374B">
        <w:rPr>
          <w:rFonts w:ascii="Times New Roman" w:hAnsi="Times New Roman"/>
          <w:bCs/>
          <w:sz w:val="24"/>
          <w:szCs w:val="24"/>
        </w:rPr>
        <w:t>Couverture des soins prénatals</w:t>
      </w:r>
      <w:r w:rsidRPr="0022374B">
        <w:rPr>
          <w:rFonts w:ascii="Times New Roman" w:hAnsi="Times New Roman"/>
          <w:sz w:val="24"/>
          <w:szCs w:val="24"/>
        </w:rPr>
        <w:t xml:space="preserv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Tableau</w:t>
      </w:r>
      <w:r w:rsidRPr="0022374B">
        <w:rPr>
          <w:rFonts w:ascii="Times New Roman" w:hAnsi="Times New Roman"/>
          <w:sz w:val="24"/>
          <w:szCs w:val="24"/>
        </w:rPr>
        <w:t xml:space="preserve"> RH.7bis Comparaison entre les indicateurs de vulnérabilité</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des mères adolescentes et des j</w:t>
      </w:r>
      <w:r w:rsidRPr="0022374B">
        <w:rPr>
          <w:rFonts w:ascii="Times New Roman" w:hAnsi="Times New Roman"/>
          <w:bCs/>
          <w:sz w:val="24"/>
          <w:szCs w:val="24"/>
        </w:rPr>
        <w:t>eunes mères adultes</w:t>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 </w:t>
      </w:r>
    </w:p>
    <w:p w:rsidR="00B446D0" w:rsidRPr="0022374B" w:rsidRDefault="00B446D0" w:rsidP="0022374B">
      <w:pPr>
        <w:pStyle w:val="Paragraphedeliste"/>
        <w:widowControl w:val="0"/>
        <w:numPr>
          <w:ilvl w:val="1"/>
          <w:numId w:val="1"/>
        </w:numPr>
        <w:spacing w:before="120" w:after="0" w:line="240" w:lineRule="auto"/>
        <w:ind w:left="0" w:firstLine="0"/>
        <w:jc w:val="both"/>
        <w:rPr>
          <w:rFonts w:ascii="Times New Roman" w:hAnsi="Times New Roman"/>
          <w:b/>
          <w:sz w:val="24"/>
          <w:szCs w:val="24"/>
        </w:rPr>
      </w:pPr>
      <w:r w:rsidRPr="0022374B">
        <w:rPr>
          <w:rFonts w:ascii="Times New Roman" w:hAnsi="Times New Roman"/>
          <w:b/>
          <w:sz w:val="24"/>
          <w:szCs w:val="24"/>
        </w:rPr>
        <w:t xml:space="preserve">Nombre de visites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Tableau</w:t>
      </w:r>
      <w:r w:rsidRPr="0022374B">
        <w:rPr>
          <w:rFonts w:ascii="Times New Roman" w:hAnsi="Times New Roman"/>
          <w:sz w:val="24"/>
          <w:szCs w:val="24"/>
        </w:rPr>
        <w:t xml:space="preserve"> RH.8 Nombre de consultations prénatales </w:t>
      </w:r>
    </w:p>
    <w:p w:rsidR="00B446D0" w:rsidRPr="0022374B" w:rsidRDefault="00B446D0" w:rsidP="0022374B">
      <w:pPr>
        <w:pStyle w:val="Titre2"/>
        <w:keepNext w:val="0"/>
        <w:widowControl w:val="0"/>
        <w:spacing w:before="120" w:after="0"/>
        <w:jc w:val="both"/>
        <w:rPr>
          <w:rStyle w:val="2H"/>
          <w:rFonts w:ascii="Times New Roman" w:hAnsi="Times New Roman"/>
          <w:szCs w:val="24"/>
        </w:rPr>
      </w:pPr>
    </w:p>
    <w:p w:rsidR="00B446D0" w:rsidRPr="0022374B" w:rsidRDefault="00B446D0" w:rsidP="0022374B">
      <w:pPr>
        <w:pStyle w:val="Titre2"/>
        <w:keepNext w:val="0"/>
        <w:widowControl w:val="0"/>
        <w:spacing w:before="120" w:after="0"/>
        <w:jc w:val="both"/>
        <w:rPr>
          <w:rStyle w:val="2H"/>
          <w:rFonts w:ascii="Times New Roman" w:hAnsi="Times New Roman"/>
          <w:b/>
          <w:bCs/>
          <w:i w:val="0"/>
          <w:szCs w:val="24"/>
        </w:rPr>
      </w:pPr>
      <w:r w:rsidRPr="0022374B">
        <w:rPr>
          <w:rStyle w:val="2H"/>
          <w:rFonts w:ascii="Times New Roman" w:hAnsi="Times New Roman"/>
          <w:b/>
          <w:i w:val="0"/>
          <w:szCs w:val="24"/>
        </w:rPr>
        <w:t>2.3 Assistance à l’accouchement</w:t>
      </w:r>
    </w:p>
    <w:p w:rsidR="00B446D0" w:rsidRPr="0022374B" w:rsidRDefault="00B446D0" w:rsidP="0022374B">
      <w:pPr>
        <w:widowControl w:val="0"/>
        <w:spacing w:before="120"/>
        <w:jc w:val="both"/>
        <w:rPr>
          <w:rFonts w:ascii="Times New Roman" w:hAnsi="Times New Roman"/>
          <w:bCs/>
          <w:sz w:val="24"/>
          <w:szCs w:val="24"/>
        </w:rPr>
      </w:pPr>
      <w:bookmarkStart w:id="1" w:name="OLE_LINK4"/>
      <w:r w:rsidRPr="0022374B">
        <w:rPr>
          <w:rFonts w:ascii="Times New Roman" w:hAnsi="Times New Roman"/>
          <w:bCs/>
          <w:sz w:val="24"/>
          <w:szCs w:val="24"/>
        </w:rPr>
        <w:t xml:space="preserve">Tableau RH.10 : Assistance à l'accouchement </w:t>
      </w:r>
    </w:p>
    <w:p w:rsidR="00B446D0" w:rsidRPr="0022374B" w:rsidRDefault="00B446D0" w:rsidP="0022374B">
      <w:pPr>
        <w:widowControl w:val="0"/>
        <w:spacing w:before="120"/>
        <w:jc w:val="both"/>
        <w:rPr>
          <w:rFonts w:ascii="Times New Roman" w:hAnsi="Times New Roman"/>
          <w:b/>
          <w:sz w:val="24"/>
          <w:szCs w:val="24"/>
        </w:rPr>
      </w:pPr>
    </w:p>
    <w:bookmarkEnd w:id="1"/>
    <w:p w:rsidR="00B446D0" w:rsidRPr="0022374B" w:rsidRDefault="00B446D0" w:rsidP="0022374B">
      <w:pPr>
        <w:pStyle w:val="Titre2"/>
        <w:keepNext w:val="0"/>
        <w:widowControl w:val="0"/>
        <w:numPr>
          <w:ilvl w:val="1"/>
          <w:numId w:val="1"/>
        </w:numPr>
        <w:spacing w:before="120" w:after="0"/>
        <w:ind w:left="0" w:firstLine="0"/>
        <w:jc w:val="both"/>
        <w:rPr>
          <w:rStyle w:val="2H"/>
          <w:rFonts w:ascii="Times New Roman" w:hAnsi="Times New Roman"/>
          <w:b/>
          <w:bCs/>
          <w:i w:val="0"/>
          <w:iCs/>
          <w:szCs w:val="24"/>
        </w:rPr>
      </w:pPr>
      <w:r w:rsidRPr="0022374B">
        <w:rPr>
          <w:rStyle w:val="2H"/>
          <w:rFonts w:ascii="Times New Roman" w:hAnsi="Times New Roman"/>
          <w:b/>
          <w:i w:val="0"/>
          <w:szCs w:val="24"/>
        </w:rPr>
        <w:t>Examens de santé post-natals</w:t>
      </w:r>
      <w:r w:rsidRPr="0022374B">
        <w:rPr>
          <w:rStyle w:val="2H"/>
          <w:rFonts w:ascii="Times New Roman" w:hAnsi="Times New Roman"/>
          <w:b/>
          <w:i w:val="0"/>
          <w:iCs/>
          <w:szCs w:val="24"/>
        </w:rPr>
        <w:t xml:space="preserv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 xml:space="preserve">Tableau RH.15 : Examens de santé post-natals des mères </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bCs/>
          <w:sz w:val="24"/>
          <w:szCs w:val="24"/>
        </w:rPr>
        <w:t>Tableau RH.15bis : Vulnérabilité des adolescentes</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3. SYNTHESE ET RECOMMANDATIONS PROGRAMMATIQUES </w:t>
      </w:r>
    </w:p>
    <w:p w:rsidR="00B446D0" w:rsidRPr="0022374B" w:rsidRDefault="00B446D0" w:rsidP="0022374B">
      <w:pPr>
        <w:widowControl w:val="0"/>
        <w:tabs>
          <w:tab w:val="left" w:pos="2917"/>
        </w:tabs>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Tableau de synthèse 1. Spécificité des adolescentes par rapport aux Jeunes adultes et à l’Ensemble des femmes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Tableau de synthèse 2. Profils de vulnérabilité des adolescentes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tabs>
          <w:tab w:val="left" w:pos="1701"/>
        </w:tabs>
        <w:spacing w:before="120"/>
        <w:jc w:val="both"/>
        <w:rPr>
          <w:rFonts w:ascii="Times New Roman" w:hAnsi="Times New Roman"/>
          <w:b/>
          <w:bCs/>
          <w:sz w:val="24"/>
          <w:szCs w:val="24"/>
        </w:rPr>
      </w:pPr>
      <w:r w:rsidRPr="0022374B">
        <w:rPr>
          <w:rFonts w:ascii="Times New Roman" w:hAnsi="Times New Roman"/>
          <w:b/>
          <w:sz w:val="24"/>
          <w:szCs w:val="24"/>
        </w:rPr>
        <w:t>THEME 2.3</w:t>
      </w:r>
      <w:r w:rsidR="00940B84">
        <w:rPr>
          <w:rFonts w:ascii="Times New Roman" w:hAnsi="Times New Roman"/>
          <w:b/>
          <w:sz w:val="24"/>
          <w:szCs w:val="24"/>
        </w:rPr>
        <w:t xml:space="preserve"> POIDS A LA NAISSANCE ET </w:t>
      </w:r>
      <w:r w:rsidRPr="0022374B">
        <w:rPr>
          <w:rFonts w:ascii="Times New Roman" w:hAnsi="Times New Roman"/>
          <w:b/>
          <w:sz w:val="24"/>
          <w:szCs w:val="24"/>
        </w:rPr>
        <w:t xml:space="preserve"> </w:t>
      </w:r>
      <w:r w:rsidRPr="0022374B">
        <w:rPr>
          <w:rFonts w:ascii="Times New Roman" w:hAnsi="Times New Roman"/>
          <w:b/>
          <w:bCs/>
          <w:sz w:val="24"/>
          <w:szCs w:val="24"/>
        </w:rPr>
        <w:t>ALLAITEMENT DE L’ENFANT )</w:t>
      </w:r>
    </w:p>
    <w:p w:rsidR="00B446D0" w:rsidRPr="0022374B" w:rsidRDefault="00B446D0" w:rsidP="0022374B">
      <w:pPr>
        <w:widowControl w:val="0"/>
        <w:spacing w:before="120"/>
        <w:jc w:val="both"/>
        <w:rPr>
          <w:rFonts w:ascii="Times New Roman" w:hAnsi="Times New Roman"/>
        </w:rPr>
      </w:pPr>
    </w:p>
    <w:p w:rsidR="00B446D0" w:rsidRPr="0022374B" w:rsidRDefault="00B446D0" w:rsidP="0022374B">
      <w:pPr>
        <w:widowControl w:val="0"/>
        <w:numPr>
          <w:ilvl w:val="0"/>
          <w:numId w:val="3"/>
        </w:numPr>
        <w:spacing w:before="120"/>
        <w:ind w:left="0" w:firstLine="0"/>
        <w:jc w:val="both"/>
        <w:rPr>
          <w:rFonts w:ascii="Times New Roman" w:hAnsi="Times New Roman"/>
          <w:b/>
          <w:sz w:val="24"/>
          <w:szCs w:val="24"/>
        </w:rPr>
      </w:pPr>
      <w:r w:rsidRPr="0022374B">
        <w:rPr>
          <w:rFonts w:ascii="Times New Roman" w:hAnsi="Times New Roman"/>
          <w:b/>
          <w:sz w:val="24"/>
          <w:szCs w:val="24"/>
        </w:rPr>
        <w:t xml:space="preserve">INTRODUCTION </w:t>
      </w:r>
    </w:p>
    <w:p w:rsidR="00B446D0" w:rsidRPr="0022374B" w:rsidRDefault="00B446D0" w:rsidP="0022374B">
      <w:pPr>
        <w:pStyle w:val="Corpsdetexte"/>
        <w:tabs>
          <w:tab w:val="left" w:pos="720"/>
        </w:tabs>
        <w:spacing w:before="120" w:after="0"/>
        <w:jc w:val="both"/>
        <w:rPr>
          <w:rStyle w:val="2H"/>
          <w:rFonts w:ascii="Times New Roman" w:hAnsi="Times New Roman"/>
          <w:bCs/>
          <w:szCs w:val="24"/>
        </w:rPr>
      </w:pPr>
    </w:p>
    <w:p w:rsidR="00B446D0" w:rsidRPr="0022374B" w:rsidRDefault="00B446D0" w:rsidP="0022374B">
      <w:pPr>
        <w:pStyle w:val="Corpsdetexte"/>
        <w:numPr>
          <w:ilvl w:val="0"/>
          <w:numId w:val="3"/>
        </w:numPr>
        <w:spacing w:before="120" w:after="0"/>
        <w:ind w:left="0" w:firstLine="0"/>
        <w:jc w:val="both"/>
        <w:rPr>
          <w:rStyle w:val="2H"/>
          <w:rFonts w:ascii="Times New Roman" w:hAnsi="Times New Roman"/>
          <w:bCs/>
          <w:szCs w:val="24"/>
        </w:rPr>
      </w:pPr>
      <w:r w:rsidRPr="0022374B">
        <w:rPr>
          <w:rStyle w:val="2H"/>
          <w:rFonts w:ascii="Times New Roman" w:hAnsi="Times New Roman"/>
          <w:bCs/>
          <w:szCs w:val="24"/>
        </w:rPr>
        <w:t>FAIBLE POIDS À LA NAISSANCE</w:t>
      </w:r>
    </w:p>
    <w:p w:rsidR="00B446D0" w:rsidRPr="0022374B" w:rsidRDefault="00B446D0" w:rsidP="0022374B">
      <w:pPr>
        <w:widowControl w:val="0"/>
        <w:spacing w:before="120"/>
        <w:ind w:left="-11"/>
        <w:jc w:val="both"/>
        <w:rPr>
          <w:rFonts w:ascii="Times New Roman" w:hAnsi="Times New Roman"/>
          <w:bCs/>
        </w:rPr>
      </w:pPr>
      <w:r w:rsidRPr="0022374B">
        <w:rPr>
          <w:rFonts w:ascii="Times New Roman" w:hAnsi="Times New Roman"/>
          <w:bCs/>
        </w:rPr>
        <w:t>Tableau NU.1: Pourcentage d’enfants pesant moins de 2500 grammes à la naissance</w:t>
      </w:r>
    </w:p>
    <w:p w:rsidR="00B446D0" w:rsidRPr="0022374B" w:rsidRDefault="00B446D0" w:rsidP="0022374B">
      <w:pPr>
        <w:widowControl w:val="0"/>
        <w:spacing w:before="120"/>
        <w:jc w:val="both"/>
        <w:rPr>
          <w:rStyle w:val="2H"/>
          <w:rFonts w:ascii="Times New Roman" w:hAnsi="Times New Roman"/>
          <w:b w:val="0"/>
          <w:bCs/>
          <w:szCs w:val="24"/>
        </w:rPr>
      </w:pPr>
    </w:p>
    <w:p w:rsidR="00B446D0" w:rsidRPr="0022374B" w:rsidRDefault="00B446D0" w:rsidP="0022374B">
      <w:pPr>
        <w:pStyle w:val="Corpsdetexte"/>
        <w:tabs>
          <w:tab w:val="left" w:pos="720"/>
        </w:tabs>
        <w:spacing w:before="120" w:after="0"/>
        <w:jc w:val="both"/>
        <w:rPr>
          <w:rStyle w:val="2H"/>
          <w:rFonts w:ascii="Times New Roman" w:hAnsi="Times New Roman"/>
          <w:bCs/>
          <w:szCs w:val="24"/>
        </w:rPr>
      </w:pPr>
      <w:r w:rsidRPr="0022374B">
        <w:rPr>
          <w:rFonts w:ascii="Times New Roman" w:hAnsi="Times New Roman"/>
          <w:sz w:val="24"/>
          <w:szCs w:val="24"/>
        </w:rPr>
        <w:t>3.</w:t>
      </w:r>
      <w:r w:rsidRPr="0022374B">
        <w:rPr>
          <w:rFonts w:ascii="Times New Roman" w:hAnsi="Times New Roman"/>
          <w:b/>
          <w:sz w:val="24"/>
          <w:szCs w:val="24"/>
        </w:rPr>
        <w:t xml:space="preserve"> ALLAITEMENT PRECOCE ET EXCLUSIF</w:t>
      </w:r>
    </w:p>
    <w:p w:rsidR="00B446D0" w:rsidRPr="0022374B" w:rsidRDefault="00B446D0" w:rsidP="0022374B">
      <w:pPr>
        <w:spacing w:before="120"/>
        <w:jc w:val="both"/>
        <w:rPr>
          <w:rFonts w:ascii="Times New Roman" w:hAnsi="Times New Roman"/>
          <w:lang w:eastAsia="en-GB"/>
        </w:rPr>
      </w:pPr>
      <w:r w:rsidRPr="0022374B">
        <w:rPr>
          <w:rFonts w:ascii="Times New Roman" w:hAnsi="Times New Roman"/>
        </w:rPr>
        <w:lastRenderedPageBreak/>
        <w:t xml:space="preserve">Tableau NU.3 : Allaitement précoce et exclusif </w:t>
      </w:r>
    </w:p>
    <w:p w:rsidR="00B446D0" w:rsidRPr="0022374B" w:rsidRDefault="00B446D0" w:rsidP="0022374B">
      <w:pPr>
        <w:spacing w:before="120"/>
        <w:jc w:val="both"/>
        <w:rPr>
          <w:rFonts w:ascii="Times New Roman" w:hAnsi="Times New Roman"/>
          <w:spacing w:val="30"/>
        </w:rPr>
      </w:pPr>
      <w:r w:rsidRPr="0022374B">
        <w:rPr>
          <w:rFonts w:ascii="Times New Roman" w:hAnsi="Times New Roman"/>
          <w:spacing w:val="30"/>
        </w:rPr>
        <w:t>Graphique</w:t>
      </w:r>
      <w:r w:rsidRPr="0022374B">
        <w:rPr>
          <w:rFonts w:ascii="Times New Roman" w:hAnsi="Times New Roman"/>
          <w:lang w:eastAsia="zh-TW"/>
        </w:rPr>
        <w:t> </w:t>
      </w:r>
      <w:r w:rsidRPr="0022374B">
        <w:rPr>
          <w:rFonts w:ascii="Times New Roman" w:hAnsi="Times New Roman"/>
          <w:spacing w:val="30"/>
        </w:rPr>
        <w:t>NU.3 : Initiation à l’allaitement (ensemble des femmes)</w:t>
      </w:r>
    </w:p>
    <w:p w:rsidR="00B446D0" w:rsidRPr="0022374B" w:rsidRDefault="00B446D0" w:rsidP="0022374B">
      <w:pPr>
        <w:spacing w:before="120"/>
        <w:jc w:val="both"/>
        <w:rPr>
          <w:rFonts w:ascii="Times New Roman" w:hAnsi="Times New Roman"/>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4. SYNTHESE ET RECOMMANDATIONS PROGRAMMATIQUES </w:t>
      </w:r>
    </w:p>
    <w:p w:rsidR="00B446D0" w:rsidRPr="0022374B" w:rsidRDefault="00B446D0" w:rsidP="0022374B">
      <w:pPr>
        <w:widowControl w:val="0"/>
        <w:spacing w:before="120"/>
        <w:jc w:val="both"/>
        <w:rPr>
          <w:rFonts w:ascii="Times New Roman" w:hAnsi="Times New Roman"/>
          <w:sz w:val="24"/>
          <w:szCs w:val="24"/>
        </w:rPr>
      </w:pPr>
    </w:p>
    <w:p w:rsidR="00A45CA1" w:rsidRPr="0022374B" w:rsidRDefault="00A45CA1" w:rsidP="0022374B">
      <w:pPr>
        <w:spacing w:before="120"/>
        <w:jc w:val="both"/>
        <w:rPr>
          <w:rFonts w:ascii="Times New Roman" w:hAnsi="Times New Roman"/>
          <w:b/>
          <w:sz w:val="28"/>
          <w:szCs w:val="28"/>
        </w:rPr>
      </w:pPr>
      <w:r w:rsidRPr="0022374B">
        <w:rPr>
          <w:rFonts w:ascii="Times New Roman" w:hAnsi="Times New Roman"/>
          <w:b/>
          <w:sz w:val="28"/>
          <w:szCs w:val="28"/>
        </w:rPr>
        <w:br w:type="page"/>
      </w:r>
    </w:p>
    <w:p w:rsidR="00B446D0" w:rsidRPr="0022374B" w:rsidRDefault="00B446D0" w:rsidP="0022374B">
      <w:pPr>
        <w:widowControl w:val="0"/>
        <w:spacing w:before="120"/>
        <w:jc w:val="both"/>
        <w:rPr>
          <w:rFonts w:ascii="Times New Roman" w:hAnsi="Times New Roman"/>
          <w:b/>
          <w:sz w:val="28"/>
          <w:szCs w:val="28"/>
        </w:rPr>
      </w:pPr>
      <w:r w:rsidRPr="0022374B">
        <w:rPr>
          <w:rFonts w:ascii="Times New Roman" w:hAnsi="Times New Roman"/>
          <w:b/>
          <w:sz w:val="28"/>
          <w:szCs w:val="28"/>
        </w:rPr>
        <w:lastRenderedPageBreak/>
        <w:t>THEME 2.1 MARIAGES DES ENFANTS ET POLYGAMIE</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pStyle w:val="Paragraphedeliste"/>
        <w:widowControl w:val="0"/>
        <w:numPr>
          <w:ilvl w:val="0"/>
          <w:numId w:val="43"/>
        </w:num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22374B">
        <w:rPr>
          <w:rFonts w:ascii="Times New Roman" w:hAnsi="Times New Roman"/>
          <w:b/>
          <w:sz w:val="24"/>
          <w:szCs w:val="24"/>
        </w:rPr>
        <w:t>INTRODUCTION</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Comme le note le rapport national de l’EMICS 2014, dans beaucoup de pays au monde, les parents encouragent le mariage de leurs filles pendant qu'elles sont encore des enfants, dans l'espoir que le mariage leur sera bénéfique à la fois financièrement et socialement, tout en allégeant les charges financières pesant sur la famille. Le mariage</w:t>
      </w:r>
      <w:r w:rsidRPr="0022374B">
        <w:rPr>
          <w:rStyle w:val="Appelnotedebasdep"/>
          <w:rFonts w:ascii="Times New Roman" w:hAnsi="Times New Roman"/>
          <w:sz w:val="24"/>
          <w:szCs w:val="24"/>
          <w:lang w:val="en-GB"/>
        </w:rPr>
        <w:footnoteReference w:id="1"/>
      </w:r>
      <w:r w:rsidRPr="0022374B">
        <w:rPr>
          <w:rFonts w:ascii="Times New Roman" w:hAnsi="Times New Roman"/>
          <w:sz w:val="24"/>
          <w:szCs w:val="24"/>
        </w:rPr>
        <w:t>des enfants (avant l'âge de 18 ans) est donc une réalité pour de nombreuses jeunes filles. Ce phénomène est une violation des droits de l'homme car compromettant le développement des filles et se traduisant souvent par une grossesse précoce et un isolement social, avec peu d'éducation et une faible formation professionnelle qui renforcent le caractère sexo-spécifique de la pauvreté</w:t>
      </w:r>
      <w:r w:rsidRPr="0022374B">
        <w:rPr>
          <w:rStyle w:val="Appelnotedebasdep"/>
          <w:rFonts w:ascii="Times New Roman" w:hAnsi="Times New Roman"/>
          <w:sz w:val="24"/>
          <w:szCs w:val="24"/>
          <w:lang w:val="en-GB"/>
        </w:rPr>
        <w:footnoteReference w:id="2"/>
      </w:r>
      <w:r w:rsidRPr="0022374B">
        <w:rPr>
          <w:rFonts w:ascii="Times New Roman" w:hAnsi="Times New Roman"/>
          <w:sz w:val="24"/>
          <w:szCs w:val="24"/>
        </w:rPr>
        <w:t xml:space="preserve">. Mais le droit au « libre et plein » consentement à un mariage est reconnu dans la Déclaration universelle des droits de l'homme – avec la reconnaissance que le consentement ne saurait être « libre et plein » lorsque l'une des parties impliquée n'est pas suffisamment mûre pour prendre une décision éclairée au sujet de l’union. Au Bénin, le Code des personnes et de la famille a fixé l'âge au mariage à 18 ans. En effet le mariage et la maternité précoce constituent les éléments déterminants de la fécondité élevée et les premiers facteurs de risque des décès maternels. De plus, le mariage à un jeune âge rend la fille plus susceptible d'épouser des hommes plus âgés qui leur font courir un plus grand risque d'infection au VIH. Si l’on s’accorde à considérer que un agent mariage précoce et défavorable à l’épanouissement personnel de la femme, et constitue des facteurs de risque précité, il reste à définir ce qu’est un mariage précoce dans une société donnée. Tel est le problème méthodologique qu’il faut maintenant clarifier dans cette introduction.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Dans un pays donné, une première analyse des résultats des enquêtes ou des recensements disponibles peuvent conduire à identifier deux modèles de nuptialité, leurs soubassements socioculturels alternatifs et les conclusions à en tirer quant à l’efficacité de la politique démographique à adopter.</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Si le mariage précoce est universel dans cette société, il est clair que c’est un comportement fortement inscrit dans les systèmes de valeurs et les normes de cette société. Et s’il en est ainsi, c’est parce qu’il doit correspondre à un enjeu majeur pour la société. Une rapide mise en perspective historique suggère que la nuptialité est une réponse sociétale au problème de la forte mortalité infantile (Davis, 1963 ; Charbit et Petit, 2011). Sans même parler de croissance démographique, celle-ci a mis en danger le simple renouvellement des populations, la forte fécondité permise par le mariage précoce et universel était en quelque sorte annulée par la forte mortalité en bas âge avec des quotients de mortalité infantile très élevés, pouvant atteindre200 pour mille et des quotients de mortalité infanto-juvénile 500 pour mille. Cette situation a prévalu en Europe pendant des siècles jusqu’à la révolution pastorienne(1880) et surtout la généralisation de l’utilisation des antibiotiques après la Deuxième Guerre mondiale. Des </w:t>
      </w:r>
      <w:r w:rsidRPr="0022374B">
        <w:rPr>
          <w:rFonts w:ascii="Times New Roman" w:hAnsi="Times New Roman"/>
          <w:sz w:val="24"/>
          <w:szCs w:val="24"/>
        </w:rPr>
        <w:lastRenderedPageBreak/>
        <w:t>niveaux de mortalité comparables s’observaient dans les pays en développement et notamment en Afrique, certainement avant la colonisation mais même après les indépendances des années 1960, même si le contexte épidémiologique n’était pas identique(disparition de la peste et inversement fréquence de maladies infectieuses inexistantes en Europe car liées au climat tropical et subtropical).</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Dans toutes ces sociétés, un mariage précoce, le plus proche possible de la puberté (donc avant quinze ans), et d’autre part un mariage précoce universel (toutes les filles étaient mariées) contribuaient à maximiser le potentiel de reproduction des femmes et par conséquent des grossesses nombreuses, surtout en l’absence de toute contraception, était un moyen efficace d’assurer la survie du groupe. Dans ces conditions, le concept même de mariage précoce n’a guère de sens précisément parce que l’on ne peut en aucun cas observer de mariage tardif (sauf cas de handicap physique). On peut alors s’interroger sur le bien-fondé et surtout l’efficacité d’une politique volontariste qui viserait à faire reculer un âge au mariage aussi fortement ancré dans le fonctionnement global de la société.</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Dans le second modèle démographique, seule une fraction des femmes se marient tôt. Le problème qui se pose est alors différent, il est d’ordre purement méthodologique : à quel âge fixer le seuil du mariage précoce ? Dès l’apparition des règles et des signes sexuels secondaires chez les filles (apparition des seins, des poils pubiens), ce qu’on appelle l’âge nubile ? Ou lorsque la femme témoigne d’une réelle maturité physique et physiologique, qui laisse penser qu’elle a désormais la capacité de concevoir et de mener à terme une grossesse ? On devrait alors définir comme précoce tout mariage conclu avant l’âge de 15 ans. Malheureusement, dans le cadre d’une enquête on ne dispose pas de données suffisamment fines pour trancher entre les deux définitions de ce seuil du mariage précoce. Nous proposons, en tant que démographes, une solution purement pragmatique et statistique : nous prenons un âge donné et nous vérifions si la fréquence des mariages au-delà de cet âge augmente significativement. Par exemple, si beaucoup de femmes après 15 ans, on ne peut plus parler de précocité et ce comportement atypique a fait place à la norme.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spacing w:before="120"/>
        <w:jc w:val="both"/>
        <w:rPr>
          <w:rFonts w:ascii="Times New Roman" w:hAnsi="Times New Roman"/>
          <w:b/>
          <w:sz w:val="24"/>
          <w:szCs w:val="24"/>
        </w:rPr>
      </w:pPr>
      <w:r w:rsidRPr="0022374B">
        <w:rPr>
          <w:rFonts w:ascii="Times New Roman" w:hAnsi="Times New Roman"/>
          <w:b/>
          <w:sz w:val="24"/>
          <w:szCs w:val="24"/>
        </w:rPr>
        <w:t xml:space="preserve">2. ENTREE EN UNION PRECOCE DES FEMMES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Un âge au mariage avant 15 ans peut-il donc être considéré comme un indicateur incontestable d’une entrée en union précoce ? Le graphique compare les pourcentages d’entrées en union à quinze ans avant quinze ans est avant dix-huit ans. Il ressort clairement du graphique que l’entrée en union avant 15 ans est beaucoup moins fréquente qu’avant 18 ans. Ceci justifie donc pleinement de considérer que les femmes entrées en union avant 15 ans constituent un groupe sociodémographique distinct : elles sont entrées en union en tant qu’adolescentes.</w:t>
      </w:r>
    </w:p>
    <w:p w:rsidR="00B446D0" w:rsidRPr="0022374B" w:rsidRDefault="00B446D0" w:rsidP="0022374B">
      <w:pPr>
        <w:widowControl w:val="0"/>
        <w:tabs>
          <w:tab w:val="left" w:pos="5529"/>
        </w:tabs>
        <w:spacing w:before="120"/>
        <w:jc w:val="both"/>
        <w:rPr>
          <w:rFonts w:ascii="Times New Roman" w:hAnsi="Times New Roman"/>
          <w:bCs/>
          <w:sz w:val="24"/>
          <w:szCs w:val="24"/>
        </w:rPr>
      </w:pPr>
      <w:r w:rsidRPr="0022374B">
        <w:rPr>
          <w:rFonts w:ascii="Times New Roman" w:hAnsi="Times New Roman"/>
          <w:bCs/>
          <w:sz w:val="24"/>
          <w:szCs w:val="24"/>
        </w:rPr>
        <w:t>Le fait majeur qui ressort du tableau CP.0  et du graphique CP.3 est le net recul des entrées en union précoces parmi les adolescents et les jeunes adultes, et ceci est vrai aussi bien pour les hommes que pour les femmes. 3 ù et 7 % dans les deux cohortes les plus jeunes (15-19 et 20-24 ans) contre 10 % en moyenne parmi leurs aînées (25 à 44 ans) avec 9 % à 45-49 ans. Ce dernier pourcentage, plus faible que dans les cohortes précédentes correspond probablement à des omissions des mariages précoces, phénomène souvent observé dans les enquêtes de ce type.</w:t>
      </w:r>
    </w:p>
    <w:p w:rsidR="00B446D0" w:rsidRPr="0022374B" w:rsidRDefault="00B446D0" w:rsidP="0022374B">
      <w:pPr>
        <w:widowControl w:val="0"/>
        <w:tabs>
          <w:tab w:val="left" w:pos="5529"/>
        </w:tabs>
        <w:spacing w:before="120"/>
        <w:jc w:val="both"/>
        <w:rPr>
          <w:rFonts w:ascii="Times New Roman" w:hAnsi="Times New Roman"/>
          <w:bCs/>
          <w:sz w:val="24"/>
          <w:szCs w:val="24"/>
        </w:rPr>
      </w:pP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Tableau CP.0. Entrée en union précoce selon la cohorte d’âge</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8870D4">
      <w:pPr>
        <w:widowControl w:val="0"/>
        <w:spacing w:before="120"/>
        <w:jc w:val="center"/>
        <w:rPr>
          <w:rFonts w:ascii="Times New Roman" w:hAnsi="Times New Roman"/>
          <w:sz w:val="24"/>
          <w:szCs w:val="24"/>
        </w:rPr>
      </w:pPr>
      <w:r w:rsidRPr="0022374B">
        <w:rPr>
          <w:rFonts w:ascii="Times New Roman" w:hAnsi="Times New Roman"/>
          <w:sz w:val="24"/>
          <w:szCs w:val="24"/>
        </w:rPr>
        <w:t>(Pourcentage de femmes et d’hommes mariés avant 15 ans</w:t>
      </w: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sz w:val="24"/>
          <w:szCs w:val="24"/>
        </w:rPr>
        <w:t>dans les différentes cohortes)</w:t>
      </w:r>
    </w:p>
    <w:tbl>
      <w:tblPr>
        <w:tblStyle w:val="Grilledutableau"/>
        <w:tblW w:w="0" w:type="auto"/>
        <w:jc w:val="center"/>
        <w:tblLook w:val="04A0" w:firstRow="1" w:lastRow="0" w:firstColumn="1" w:lastColumn="0" w:noHBand="0" w:noVBand="1"/>
      </w:tblPr>
      <w:tblGrid>
        <w:gridCol w:w="1384"/>
        <w:gridCol w:w="1134"/>
        <w:gridCol w:w="1134"/>
        <w:gridCol w:w="992"/>
        <w:gridCol w:w="1418"/>
      </w:tblGrid>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Age actuel</w:t>
            </w:r>
          </w:p>
        </w:tc>
        <w:tc>
          <w:tcPr>
            <w:tcW w:w="2268" w:type="dxa"/>
            <w:gridSpan w:val="2"/>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Femmes</w:t>
            </w:r>
          </w:p>
        </w:tc>
        <w:tc>
          <w:tcPr>
            <w:tcW w:w="2410" w:type="dxa"/>
            <w:gridSpan w:val="2"/>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Hommes</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N</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N</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15-19</w:t>
            </w: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3,3</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3 115</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0,1</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1 058</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20-24</w:t>
            </w: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7,0</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2 765</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0,2</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735</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25-29</w:t>
            </w: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11,3</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2 840</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2,1</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600</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30-34</w:t>
            </w: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11,3</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2 375</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3,3</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628</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35-39</w:t>
            </w: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11,4</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2 108</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2,1</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528</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40-44</w:t>
            </w: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10,7</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1 538</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2,5</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512</w:t>
            </w:r>
          </w:p>
        </w:tc>
      </w:tr>
      <w:tr w:rsidR="00B446D0" w:rsidRPr="0022374B" w:rsidTr="00CD18E4">
        <w:trPr>
          <w:jc w:val="center"/>
        </w:trPr>
        <w:tc>
          <w:tcPr>
            <w:tcW w:w="138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45-49</w:t>
            </w:r>
          </w:p>
        </w:tc>
        <w:tc>
          <w:tcPr>
            <w:tcW w:w="1134"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9,2</w:t>
            </w:r>
          </w:p>
        </w:tc>
        <w:tc>
          <w:tcPr>
            <w:tcW w:w="1134"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1 073</w:t>
            </w:r>
          </w:p>
        </w:tc>
        <w:tc>
          <w:tcPr>
            <w:tcW w:w="992"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0,4</w:t>
            </w:r>
          </w:p>
        </w:tc>
        <w:tc>
          <w:tcPr>
            <w:tcW w:w="1418"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310</w:t>
            </w:r>
          </w:p>
        </w:tc>
      </w:tr>
    </w:tbl>
    <w:p w:rsidR="00B446D0" w:rsidRPr="0022374B" w:rsidRDefault="00B446D0" w:rsidP="0022374B">
      <w:pPr>
        <w:widowControl w:val="0"/>
        <w:tabs>
          <w:tab w:val="left" w:pos="5529"/>
        </w:tabs>
        <w:spacing w:before="120"/>
        <w:jc w:val="both"/>
        <w:rPr>
          <w:rFonts w:ascii="Times New Roman" w:hAnsi="Times New Roman"/>
          <w:bCs/>
          <w:sz w:val="24"/>
          <w:szCs w:val="24"/>
        </w:rPr>
      </w:pPr>
    </w:p>
    <w:p w:rsidR="00B446D0" w:rsidRPr="0022374B" w:rsidRDefault="00B446D0" w:rsidP="0022374B">
      <w:pPr>
        <w:widowControl w:val="0"/>
        <w:spacing w:before="120"/>
        <w:jc w:val="both"/>
        <w:rPr>
          <w:rFonts w:ascii="Times New Roman" w:hAnsi="Times New Roman"/>
          <w:spacing w:val="30"/>
          <w:sz w:val="24"/>
          <w:szCs w:val="24"/>
        </w:rPr>
      </w:pPr>
      <w:r w:rsidRPr="0022374B">
        <w:rPr>
          <w:rFonts w:ascii="Times New Roman" w:hAnsi="Times New Roman"/>
          <w:spacing w:val="30"/>
          <w:sz w:val="24"/>
          <w:szCs w:val="24"/>
        </w:rPr>
        <w:t>Graphique</w:t>
      </w:r>
      <w:r w:rsidRPr="0022374B">
        <w:rPr>
          <w:rFonts w:ascii="Times New Roman" w:hAnsi="Times New Roman"/>
          <w:color w:val="000000"/>
          <w:sz w:val="24"/>
          <w:szCs w:val="24"/>
          <w:lang w:eastAsia="zh-TW"/>
        </w:rPr>
        <w:t> </w:t>
      </w:r>
      <w:r w:rsidRPr="0022374B">
        <w:rPr>
          <w:rFonts w:ascii="Times New Roman" w:hAnsi="Times New Roman"/>
          <w:spacing w:val="30"/>
          <w:sz w:val="24"/>
          <w:szCs w:val="24"/>
        </w:rPr>
        <w:t>CP.3 : Mariage des enfants chez les femmes</w:t>
      </w:r>
    </w:p>
    <w:p w:rsidR="00B446D0" w:rsidRPr="0022374B" w:rsidRDefault="00B446D0" w:rsidP="0022374B">
      <w:pPr>
        <w:widowControl w:val="0"/>
        <w:spacing w:before="120"/>
        <w:jc w:val="both"/>
        <w:rPr>
          <w:rFonts w:ascii="Times New Roman" w:hAnsi="Times New Roman"/>
          <w:noProof/>
          <w:sz w:val="24"/>
          <w:szCs w:val="24"/>
        </w:rPr>
      </w:pPr>
    </w:p>
    <w:p w:rsidR="00B446D0" w:rsidRPr="0022374B" w:rsidRDefault="00B446D0" w:rsidP="0022374B">
      <w:pPr>
        <w:widowControl w:val="0"/>
        <w:spacing w:before="120"/>
        <w:jc w:val="both"/>
        <w:rPr>
          <w:rFonts w:ascii="Times New Roman" w:hAnsi="Times New Roman"/>
          <w:noProof/>
          <w:sz w:val="24"/>
          <w:szCs w:val="24"/>
        </w:rPr>
      </w:pPr>
      <w:r w:rsidRPr="0022374B">
        <w:rPr>
          <w:rFonts w:ascii="Times New Roman" w:hAnsi="Times New Roman"/>
          <w:noProof/>
          <w:sz w:val="24"/>
          <w:szCs w:val="24"/>
        </w:rPr>
        <w:drawing>
          <wp:inline distT="0" distB="0" distL="0" distR="0">
            <wp:extent cx="4817659" cy="3507474"/>
            <wp:effectExtent l="0" t="0" r="0" b="0"/>
            <wp:docPr id="2" name="Char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3"/>
                    <pic:cNvPicPr>
                      <a:picLocks noChangeArrowheads="1"/>
                    </pic:cNvPicPr>
                  </pic:nvPicPr>
                  <pic:blipFill>
                    <a:blip r:embed="rId7" cstate="print"/>
                    <a:srcRect l="-4944" t="-10362" r="-3735" b="-3453"/>
                    <a:stretch>
                      <a:fillRect/>
                    </a:stretch>
                  </pic:blipFill>
                  <pic:spPr bwMode="auto">
                    <a:xfrm>
                      <a:off x="0" y="0"/>
                      <a:ext cx="4824303" cy="3512311"/>
                    </a:xfrm>
                    <a:prstGeom prst="rect">
                      <a:avLst/>
                    </a:prstGeom>
                    <a:noFill/>
                    <a:ln w="9525">
                      <a:noFill/>
                      <a:miter lim="800000"/>
                      <a:headEnd/>
                      <a:tailEnd/>
                    </a:ln>
                  </pic:spPr>
                </pic:pic>
              </a:graphicData>
            </a:graphic>
          </wp:inline>
        </w:drawing>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tabs>
          <w:tab w:val="left" w:pos="5529"/>
        </w:tabs>
        <w:spacing w:before="120"/>
        <w:jc w:val="both"/>
        <w:rPr>
          <w:rFonts w:ascii="Times New Roman" w:hAnsi="Times New Roman"/>
          <w:bCs/>
          <w:sz w:val="24"/>
          <w:szCs w:val="24"/>
        </w:rPr>
      </w:pPr>
      <w:r w:rsidRPr="0022374B">
        <w:rPr>
          <w:rFonts w:ascii="Times New Roman" w:hAnsi="Times New Roman"/>
          <w:bCs/>
          <w:sz w:val="24"/>
          <w:szCs w:val="24"/>
        </w:rPr>
        <w:t xml:space="preserve">La question qui se pose de savoir si ce recul est spécifique de personnes présentant les caractéristiques généralement associées à la modernisation, à savoir la résidence en milieu urbain, un niveau d’instruction et de bien-être élevés, ou si au contraire il </w:t>
      </w:r>
      <w:r w:rsidRPr="0022374B">
        <w:rPr>
          <w:rFonts w:ascii="Times New Roman" w:hAnsi="Times New Roman"/>
          <w:bCs/>
          <w:sz w:val="24"/>
          <w:szCs w:val="24"/>
        </w:rPr>
        <w:lastRenderedPageBreak/>
        <w:t xml:space="preserve">s’observe dans tous les milieux sociaux résidentiels et socio-économiques. Tel est l’objet du </w:t>
      </w:r>
      <w:r w:rsidRPr="0022374B">
        <w:rPr>
          <w:rFonts w:ascii="Times New Roman" w:hAnsi="Times New Roman"/>
          <w:sz w:val="24"/>
          <w:szCs w:val="24"/>
        </w:rPr>
        <w:t>tableau</w:t>
      </w:r>
      <w:r w:rsidRPr="0022374B">
        <w:rPr>
          <w:rFonts w:ascii="Times New Roman" w:hAnsi="Times New Roman"/>
          <w:color w:val="000000"/>
          <w:sz w:val="24"/>
          <w:szCs w:val="24"/>
          <w:lang w:eastAsia="zh-TW"/>
        </w:rPr>
        <w:t> </w:t>
      </w:r>
      <w:r w:rsidRPr="0022374B">
        <w:rPr>
          <w:rFonts w:ascii="Times New Roman" w:hAnsi="Times New Roman"/>
          <w:sz w:val="24"/>
          <w:szCs w:val="24"/>
        </w:rPr>
        <w:t>CP.7A et CP.7B, qui présentent les pourcentages de femmes et d’hommes mariés avant l’âge de 15 ans.</w:t>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Tableau CP.7A. Entrée en union précoce des femmes</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8870D4">
      <w:pPr>
        <w:widowControl w:val="0"/>
        <w:spacing w:before="120"/>
        <w:jc w:val="center"/>
        <w:rPr>
          <w:rFonts w:ascii="Times New Roman" w:hAnsi="Times New Roman"/>
          <w:sz w:val="24"/>
          <w:szCs w:val="24"/>
        </w:rPr>
      </w:pPr>
      <w:r w:rsidRPr="0022374B">
        <w:rPr>
          <w:rFonts w:ascii="Times New Roman" w:hAnsi="Times New Roman"/>
          <w:sz w:val="24"/>
          <w:szCs w:val="24"/>
        </w:rPr>
        <w:t>Pourcentage d’Adolescentes (15-19 ans), de Jeunes adultes (20-24 ans)</w:t>
      </w:r>
    </w:p>
    <w:p w:rsidR="00B446D0" w:rsidRPr="0022374B" w:rsidRDefault="00B446D0" w:rsidP="008870D4">
      <w:pPr>
        <w:widowControl w:val="0"/>
        <w:spacing w:before="120"/>
        <w:jc w:val="center"/>
        <w:rPr>
          <w:rFonts w:ascii="Times New Roman" w:hAnsi="Times New Roman"/>
          <w:sz w:val="24"/>
          <w:szCs w:val="24"/>
        </w:rPr>
      </w:pPr>
      <w:r w:rsidRPr="0022374B">
        <w:rPr>
          <w:rFonts w:ascii="Times New Roman" w:hAnsi="Times New Roman"/>
          <w:sz w:val="24"/>
          <w:szCs w:val="24"/>
        </w:rPr>
        <w:t>et de l’Ensemble des femmes (15-49 ans), qui ont été mariées avant 15 ans</w:t>
      </w: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sz w:val="24"/>
          <w:szCs w:val="24"/>
        </w:rPr>
        <w:t>selon les caractéristiques socio-économiques</w:t>
      </w:r>
    </w:p>
    <w:tbl>
      <w:tblPr>
        <w:tblpPr w:leftFromText="141" w:rightFromText="141" w:vertAnchor="text" w:tblpXSpec="center" w:tblpY="1"/>
        <w:tblOverlap w:val="neve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96"/>
        <w:gridCol w:w="109"/>
        <w:gridCol w:w="586"/>
        <w:gridCol w:w="10"/>
        <w:gridCol w:w="1031"/>
        <w:gridCol w:w="895"/>
        <w:gridCol w:w="224"/>
        <w:gridCol w:w="53"/>
        <w:gridCol w:w="631"/>
        <w:gridCol w:w="65"/>
        <w:gridCol w:w="109"/>
        <w:gridCol w:w="1046"/>
        <w:gridCol w:w="9"/>
        <w:gridCol w:w="12"/>
      </w:tblGrid>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b/>
                <w:bCs/>
              </w:rPr>
            </w:pPr>
          </w:p>
        </w:tc>
        <w:tc>
          <w:tcPr>
            <w:tcW w:w="1601"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Adolescentes</w:t>
            </w:r>
          </w:p>
        </w:tc>
        <w:tc>
          <w:tcPr>
            <w:tcW w:w="1926" w:type="dxa"/>
            <w:gridSpan w:val="2"/>
          </w:tcPr>
          <w:p w:rsidR="00B446D0" w:rsidRPr="0022374B" w:rsidRDefault="00B446D0" w:rsidP="0022374B">
            <w:pPr>
              <w:spacing w:before="120"/>
              <w:jc w:val="both"/>
              <w:rPr>
                <w:rFonts w:ascii="Times New Roman" w:hAnsi="Times New Roman"/>
              </w:rPr>
            </w:pPr>
            <w:r w:rsidRPr="0022374B">
              <w:rPr>
                <w:rFonts w:ascii="Times New Roman" w:hAnsi="Times New Roman"/>
              </w:rPr>
              <w:t>Jeunes adultes</w:t>
            </w:r>
          </w:p>
        </w:tc>
        <w:tc>
          <w:tcPr>
            <w:tcW w:w="2128" w:type="dxa"/>
            <w:gridSpan w:val="6"/>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Ensemble des femmes </w:t>
            </w:r>
          </w:p>
          <w:p w:rsidR="00B446D0" w:rsidRPr="0022374B" w:rsidRDefault="00B446D0" w:rsidP="0022374B">
            <w:pPr>
              <w:spacing w:before="120"/>
              <w:jc w:val="both"/>
              <w:rPr>
                <w:rFonts w:ascii="Times New Roman" w:hAnsi="Times New Roman"/>
              </w:rPr>
            </w:pP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bCs/>
              </w:rPr>
            </w:pPr>
          </w:p>
        </w:tc>
        <w:tc>
          <w:tcPr>
            <w:tcW w:w="89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Mariée &lt; 15 ans</w:t>
            </w:r>
          </w:p>
        </w:tc>
        <w:tc>
          <w:tcPr>
            <w:tcW w:w="7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1031"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Mariée&lt; 15 ans</w:t>
            </w:r>
          </w:p>
        </w:tc>
        <w:tc>
          <w:tcPr>
            <w:tcW w:w="89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908"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Mariée &lt; 15 ans</w:t>
            </w:r>
          </w:p>
        </w:tc>
        <w:tc>
          <w:tcPr>
            <w:tcW w:w="1220"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Total</w:t>
            </w:r>
          </w:p>
        </w:tc>
        <w:tc>
          <w:tcPr>
            <w:tcW w:w="896" w:type="dxa"/>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3.3</w:t>
            </w:r>
          </w:p>
        </w:tc>
        <w:tc>
          <w:tcPr>
            <w:tcW w:w="705" w:type="dxa"/>
            <w:gridSpan w:val="3"/>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3115</w:t>
            </w:r>
          </w:p>
        </w:tc>
        <w:tc>
          <w:tcPr>
            <w:tcW w:w="1031" w:type="dxa"/>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7.0</w:t>
            </w:r>
          </w:p>
        </w:tc>
        <w:tc>
          <w:tcPr>
            <w:tcW w:w="895" w:type="dxa"/>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2765</w:t>
            </w:r>
          </w:p>
        </w:tc>
        <w:tc>
          <w:tcPr>
            <w:tcW w:w="908"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8.8</w:t>
            </w:r>
          </w:p>
        </w:tc>
        <w:tc>
          <w:tcPr>
            <w:tcW w:w="1220"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15815</w:t>
            </w:r>
          </w:p>
        </w:tc>
      </w:tr>
      <w:tr w:rsidR="00B446D0" w:rsidRPr="0022374B" w:rsidTr="00CD18E4">
        <w:trPr>
          <w:gridAfter w:val="2"/>
          <w:wAfter w:w="21" w:type="dxa"/>
          <w:jc w:val="center"/>
        </w:trPr>
        <w:tc>
          <w:tcPr>
            <w:tcW w:w="6938" w:type="dxa"/>
            <w:gridSpan w:val="1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Département</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Alibori</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5,1</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202</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17,6</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177</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17,4</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1 045</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Atacora</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3,0</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297</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9,0</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252</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11,2</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1 339</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Atlantique</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1,8</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423</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4,7</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398</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7,2</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2 359</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Borgou</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12,4</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293</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12,4</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350</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13,5</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1 642</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Collines</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2,3</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201</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6,1</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168</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8,8</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1 067</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Couffo</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0,4</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336</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207</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2,6</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1 392</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Donga</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4,7</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158</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4,9</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144</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10,1</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806</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Littoral</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0,6</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279</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1,5</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251</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2,9</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1 377</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Mono</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2,5</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183</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3,7</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161</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7,0</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928</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Ouémé</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2,4</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348</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5,2</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319</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5,7</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1 772</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Plateau</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181</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10,0</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143</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10,3</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903</w:t>
            </w:r>
          </w:p>
        </w:tc>
      </w:tr>
      <w:tr w:rsidR="00B446D0" w:rsidRPr="0022374B" w:rsidTr="00CD18E4">
        <w:trPr>
          <w:gridAfter w:val="2"/>
          <w:wAfter w:w="21"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Zou</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3,8</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214</w:t>
            </w:r>
          </w:p>
        </w:tc>
        <w:tc>
          <w:tcPr>
            <w:tcW w:w="1031"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9,3</w:t>
            </w:r>
          </w:p>
        </w:tc>
        <w:tc>
          <w:tcPr>
            <w:tcW w:w="895"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196</w:t>
            </w:r>
          </w:p>
        </w:tc>
        <w:tc>
          <w:tcPr>
            <w:tcW w:w="973"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13,1</w:t>
            </w:r>
          </w:p>
        </w:tc>
        <w:tc>
          <w:tcPr>
            <w:tcW w:w="11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1 185</w:t>
            </w:r>
          </w:p>
        </w:tc>
      </w:tr>
      <w:tr w:rsidR="00B446D0" w:rsidRPr="0022374B" w:rsidTr="00CD18E4">
        <w:trPr>
          <w:gridAfter w:val="2"/>
          <w:wAfter w:w="21" w:type="dxa"/>
          <w:jc w:val="center"/>
        </w:trPr>
        <w:tc>
          <w:tcPr>
            <w:tcW w:w="6938" w:type="dxa"/>
            <w:gridSpan w:val="1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Milieu de résidence</w:t>
            </w:r>
          </w:p>
        </w:tc>
      </w:tr>
      <w:tr w:rsidR="00B446D0" w:rsidRPr="0022374B" w:rsidTr="00CD18E4">
        <w:trPr>
          <w:trHeight w:val="340"/>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Urbain</w:t>
            </w:r>
          </w:p>
        </w:tc>
        <w:tc>
          <w:tcPr>
            <w:tcW w:w="896"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1,7</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1549</w:t>
            </w:r>
          </w:p>
        </w:tc>
        <w:tc>
          <w:tcPr>
            <w:tcW w:w="103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4,7</w:t>
            </w:r>
          </w:p>
        </w:tc>
        <w:tc>
          <w:tcPr>
            <w:tcW w:w="1119"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1451</w:t>
            </w:r>
          </w:p>
        </w:tc>
        <w:tc>
          <w:tcPr>
            <w:tcW w:w="749"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5,9</w:t>
            </w:r>
          </w:p>
        </w:tc>
        <w:tc>
          <w:tcPr>
            <w:tcW w:w="1176"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7 753</w:t>
            </w:r>
          </w:p>
        </w:tc>
      </w:tr>
      <w:tr w:rsidR="00B446D0" w:rsidRPr="0022374B" w:rsidTr="00CD18E4">
        <w:trPr>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Rural</w:t>
            </w:r>
          </w:p>
        </w:tc>
        <w:tc>
          <w:tcPr>
            <w:tcW w:w="896"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4,9</w:t>
            </w:r>
          </w:p>
        </w:tc>
        <w:tc>
          <w:tcPr>
            <w:tcW w:w="705"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1565</w:t>
            </w:r>
          </w:p>
        </w:tc>
        <w:tc>
          <w:tcPr>
            <w:tcW w:w="103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9,6</w:t>
            </w:r>
          </w:p>
        </w:tc>
        <w:tc>
          <w:tcPr>
            <w:tcW w:w="1119"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1314</w:t>
            </w:r>
          </w:p>
        </w:tc>
        <w:tc>
          <w:tcPr>
            <w:tcW w:w="749"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11,5</w:t>
            </w:r>
          </w:p>
        </w:tc>
        <w:tc>
          <w:tcPr>
            <w:tcW w:w="1176"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8 062</w:t>
            </w:r>
          </w:p>
        </w:tc>
      </w:tr>
      <w:tr w:rsidR="00B446D0" w:rsidRPr="0022374B" w:rsidTr="00CD18E4">
        <w:trPr>
          <w:jc w:val="center"/>
        </w:trPr>
        <w:tc>
          <w:tcPr>
            <w:tcW w:w="6959" w:type="dxa"/>
            <w:gridSpan w:val="15"/>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Instruction de la mère</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Aucune</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8,0</w:t>
            </w:r>
          </w:p>
        </w:tc>
        <w:tc>
          <w:tcPr>
            <w:tcW w:w="69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764</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13,9</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1069</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13,3</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8 344</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Primaire</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3,4</w:t>
            </w:r>
          </w:p>
        </w:tc>
        <w:tc>
          <w:tcPr>
            <w:tcW w:w="69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856</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654</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6,1</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3 569</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 1</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w:t>
            </w:r>
          </w:p>
        </w:tc>
        <w:tc>
          <w:tcPr>
            <w:tcW w:w="69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1172</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2,5</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603</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2,0</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2 590</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 2 ou +</w:t>
            </w:r>
          </w:p>
        </w:tc>
        <w:tc>
          <w:tcPr>
            <w:tcW w:w="89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0,0</w:t>
            </w:r>
          </w:p>
        </w:tc>
        <w:tc>
          <w:tcPr>
            <w:tcW w:w="69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323</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0,5</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440</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0,7</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1 313</w:t>
            </w:r>
          </w:p>
        </w:tc>
      </w:tr>
      <w:tr w:rsidR="00B446D0" w:rsidRPr="0022374B" w:rsidTr="00CD18E4">
        <w:trPr>
          <w:gridAfter w:val="1"/>
          <w:wAfter w:w="12" w:type="dxa"/>
          <w:jc w:val="center"/>
        </w:trPr>
        <w:tc>
          <w:tcPr>
            <w:tcW w:w="6947" w:type="dxa"/>
            <w:gridSpan w:val="1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Indice de bien-être économique</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pauvre</w:t>
            </w:r>
          </w:p>
        </w:tc>
        <w:tc>
          <w:tcPr>
            <w:tcW w:w="100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5,0</w:t>
            </w:r>
          </w:p>
        </w:tc>
        <w:tc>
          <w:tcPr>
            <w:tcW w:w="58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528</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13,2</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411</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13,7</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2 793</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w:t>
            </w:r>
          </w:p>
        </w:tc>
        <w:tc>
          <w:tcPr>
            <w:tcW w:w="100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6,1</w:t>
            </w:r>
          </w:p>
        </w:tc>
        <w:tc>
          <w:tcPr>
            <w:tcW w:w="58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508</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13,9</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466</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12,6</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2 790</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Moyen</w:t>
            </w:r>
          </w:p>
        </w:tc>
        <w:tc>
          <w:tcPr>
            <w:tcW w:w="100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4,1</w:t>
            </w:r>
          </w:p>
        </w:tc>
        <w:tc>
          <w:tcPr>
            <w:tcW w:w="58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629</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6,1</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545</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9,5</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3 130</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lastRenderedPageBreak/>
              <w:t>Quatrième</w:t>
            </w:r>
          </w:p>
        </w:tc>
        <w:tc>
          <w:tcPr>
            <w:tcW w:w="100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w:t>
            </w:r>
          </w:p>
        </w:tc>
        <w:tc>
          <w:tcPr>
            <w:tcW w:w="58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666</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618</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7,0</w:t>
            </w: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3 358</w:t>
            </w:r>
          </w:p>
        </w:tc>
      </w:tr>
      <w:tr w:rsidR="00B446D0" w:rsidRPr="0022374B" w:rsidTr="00CD18E4">
        <w:trPr>
          <w:gridAfter w:val="1"/>
          <w:wAfter w:w="12" w:type="dxa"/>
          <w:jc w:val="center"/>
        </w:trPr>
        <w:tc>
          <w:tcPr>
            <w:tcW w:w="128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Le plus riche</w:t>
            </w:r>
          </w:p>
        </w:tc>
        <w:tc>
          <w:tcPr>
            <w:tcW w:w="1005"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w:t>
            </w:r>
          </w:p>
        </w:tc>
        <w:tc>
          <w:tcPr>
            <w:tcW w:w="586"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783</w:t>
            </w:r>
          </w:p>
        </w:tc>
        <w:tc>
          <w:tcPr>
            <w:tcW w:w="1041"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2,1</w:t>
            </w:r>
          </w:p>
        </w:tc>
        <w:tc>
          <w:tcPr>
            <w:tcW w:w="1172" w:type="dxa"/>
            <w:gridSpan w:val="3"/>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726</w:t>
            </w:r>
          </w:p>
        </w:tc>
        <w:tc>
          <w:tcPr>
            <w:tcW w:w="805" w:type="dxa"/>
            <w:gridSpan w:val="3"/>
            <w:vAlign w:val="center"/>
          </w:tcPr>
          <w:p w:rsidR="00B446D0" w:rsidRPr="0022374B" w:rsidRDefault="00B446D0" w:rsidP="0022374B">
            <w:pPr>
              <w:widowControl w:val="0"/>
              <w:spacing w:before="120"/>
              <w:jc w:val="both"/>
              <w:rPr>
                <w:rFonts w:ascii="Times New Roman" w:hAnsi="Times New Roman"/>
              </w:rPr>
            </w:pPr>
          </w:p>
        </w:tc>
        <w:tc>
          <w:tcPr>
            <w:tcW w:w="105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3 745</w:t>
            </w:r>
          </w:p>
        </w:tc>
      </w:tr>
    </w:tbl>
    <w:p w:rsidR="00B446D0" w:rsidRPr="0022374B" w:rsidRDefault="00B446D0" w:rsidP="0022374B">
      <w:pPr>
        <w:widowControl w:val="0"/>
        <w:spacing w:before="120"/>
        <w:jc w:val="both"/>
        <w:rPr>
          <w:rFonts w:ascii="Times New Roman" w:hAnsi="Times New Roman"/>
          <w:strike/>
          <w:sz w:val="24"/>
          <w:szCs w:val="24"/>
        </w:rPr>
      </w:pPr>
      <w:r w:rsidRPr="0022374B">
        <w:rPr>
          <w:rFonts w:ascii="Times New Roman" w:hAnsi="Times New Roman"/>
          <w:sz w:val="24"/>
          <w:szCs w:val="24"/>
        </w:rPr>
        <w:br w:type="textWrapping" w:clear="all"/>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Ensemble des femmes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Parmi les femmes de 15-49 ans, près d’une sur dix (8,8 %) s’est mariée avant l’âge de 15 ans.</w:t>
      </w:r>
    </w:p>
    <w:p w:rsidR="00B446D0" w:rsidRPr="0022374B" w:rsidRDefault="00B446D0" w:rsidP="0022374B">
      <w:pPr>
        <w:widowControl w:val="0"/>
        <w:spacing w:before="120"/>
        <w:jc w:val="both"/>
        <w:rPr>
          <w:rFonts w:ascii="Times New Roman" w:hAnsi="Times New Roman"/>
          <w:b/>
          <w:sz w:val="24"/>
          <w:szCs w:val="24"/>
          <w:highlight w:val="yellow"/>
        </w:rPr>
      </w:pPr>
      <w:r w:rsidRPr="0022374B">
        <w:rPr>
          <w:rFonts w:ascii="Times New Roman" w:hAnsi="Times New Roman"/>
          <w:sz w:val="24"/>
          <w:szCs w:val="24"/>
        </w:rPr>
        <w:t xml:space="preserve">Cette proportion est plus élevée que la moyenne nationale dans les départements de l’Alibori (17 %), Borgou (14 %), Zou (13 %), Atacora (11 %), Plateau et Donga (10 %), en milieu rural (12 %), parmi les femmes non instruites (13 %) et celles vivant dans les ménages les plus pauvres (14 %). La faible proportion observée dans le département du littoral s’explique par la spécificité de ce département qui est constitué par la ville de Cotonou (2,9 %). </w:t>
      </w:r>
      <w:r w:rsidRPr="0022374B">
        <w:rPr>
          <w:rFonts w:ascii="Times New Roman" w:hAnsi="Times New Roman"/>
          <w:b/>
          <w:sz w:val="24"/>
          <w:szCs w:val="24"/>
          <w:highlight w:val="yellow"/>
        </w:rPr>
        <w:t>Pour celui de Couffo (2,6 %)…(Voir Narcisse).</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Adolescentes </w:t>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Cs/>
          <w:sz w:val="24"/>
          <w:szCs w:val="24"/>
        </w:rPr>
        <w:t>Toutes les variables indépendantes révèlent des écarts profonds, qu’il s’agisse du département de résidence, du milieu de résidence, du niveau d’instruction ou du niveau de bien-être. Ainsi pourcentage d’adolescentes entrées en union avant 15 ans est vingt fois supérieur plus élevé dans le département de Borgou par rapport à ceux de Couffo ou du Littora (12 % contre 0,6 %).</w:t>
      </w:r>
      <w:r w:rsidRPr="0022374B">
        <w:rPr>
          <w:rFonts w:ascii="Times New Roman" w:hAnsi="Times New Roman"/>
          <w:b/>
          <w:sz w:val="24"/>
          <w:szCs w:val="24"/>
          <w:highlight w:val="yellow"/>
        </w:rPr>
        <w:t xml:space="preserve">(Voir Narcisse) </w:t>
      </w:r>
    </w:p>
    <w:p w:rsidR="00B446D0" w:rsidRPr="0022374B" w:rsidRDefault="00B446D0" w:rsidP="0022374B">
      <w:pPr>
        <w:widowControl w:val="0"/>
        <w:spacing w:before="120"/>
        <w:jc w:val="both"/>
        <w:rPr>
          <w:rFonts w:ascii="Times New Roman" w:hAnsi="Times New Roman"/>
          <w:b/>
          <w:bCs/>
          <w:sz w:val="24"/>
          <w:szCs w:val="24"/>
        </w:rPr>
      </w:pPr>
      <w:r w:rsidRPr="0022374B">
        <w:rPr>
          <w:rFonts w:ascii="Times New Roman" w:hAnsi="Times New Roman"/>
          <w:bCs/>
          <w:sz w:val="24"/>
          <w:szCs w:val="24"/>
        </w:rPr>
        <w:t>Bien que moins spectaculaires, les écarts entre les entrées en union sont notables : les mariages précoces sont trois fois plus nombreux en milieu rural qu’en milieu urbain, huit fois plus nombreux parmi les adolescentes les moins instruites par rapport aux plus instruites, enfin cinq fois plus nombreuses parmi les plus pauvres par rapport aux plus riches</w:t>
      </w:r>
      <w:r w:rsidRPr="0022374B">
        <w:rPr>
          <w:rFonts w:ascii="Times New Roman" w:hAnsi="Times New Roman"/>
          <w:b/>
          <w:bCs/>
          <w:sz w:val="24"/>
          <w:szCs w:val="24"/>
        </w:rPr>
        <w:t>.</w:t>
      </w:r>
    </w:p>
    <w:p w:rsidR="00B446D0" w:rsidRPr="0022374B" w:rsidRDefault="00B446D0" w:rsidP="0022374B">
      <w:pPr>
        <w:widowControl w:val="0"/>
        <w:spacing w:before="120"/>
        <w:jc w:val="both"/>
        <w:rPr>
          <w:rFonts w:ascii="Times New Roman" w:hAnsi="Times New Roman"/>
          <w:b/>
          <w:bCs/>
          <w:sz w:val="24"/>
          <w:szCs w:val="24"/>
        </w:rPr>
      </w:pPr>
      <w:r w:rsidRPr="0022374B">
        <w:rPr>
          <w:rFonts w:ascii="Times New Roman" w:hAnsi="Times New Roman"/>
          <w:b/>
          <w:bCs/>
          <w:sz w:val="24"/>
          <w:szCs w:val="24"/>
        </w:rPr>
        <w:t xml:space="preserve"> </w:t>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Jeunes adultes</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sz w:val="24"/>
          <w:szCs w:val="24"/>
        </w:rPr>
        <w:t xml:space="preserve">Les données relatives aux jeunes adultes confirment presque de manière identique les résultats obtenus pour les adolescentes. Écart très profond entre </w:t>
      </w:r>
      <w:r w:rsidRPr="0022374B">
        <w:rPr>
          <w:rFonts w:ascii="Times New Roman" w:hAnsi="Times New Roman"/>
          <w:bCs/>
          <w:sz w:val="24"/>
          <w:szCs w:val="24"/>
        </w:rPr>
        <w:t>le département de Borgou et ceux de Couffo ou du Littoral, entrée en union de nombreuses en milieu rural, surreprésentation parmi les femmes analphabètes par rapport à celles ayant atteint le niveau secondaire, enfin, les femmes les plus pauvres sont six fois plus à être entrées en union avant 15 ans, que les plus riches.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spacing w:before="120"/>
        <w:jc w:val="both"/>
        <w:rPr>
          <w:rFonts w:ascii="Times New Roman" w:hAnsi="Times New Roman"/>
          <w:b/>
          <w:sz w:val="24"/>
          <w:szCs w:val="24"/>
        </w:rPr>
      </w:pPr>
      <w:r w:rsidRPr="0022374B">
        <w:rPr>
          <w:rFonts w:ascii="Times New Roman" w:hAnsi="Times New Roman"/>
          <w:b/>
          <w:sz w:val="24"/>
          <w:szCs w:val="24"/>
        </w:rPr>
        <w:t>3. ENTREE EN UNION PRECOCE DES HOMMES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Ensemble des hommes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 tableau</w:t>
      </w:r>
      <w:r w:rsidRPr="0022374B">
        <w:rPr>
          <w:rFonts w:ascii="Times New Roman" w:hAnsi="Times New Roman"/>
          <w:color w:val="000000"/>
          <w:sz w:val="24"/>
          <w:szCs w:val="24"/>
          <w:lang w:eastAsia="zh-TW"/>
        </w:rPr>
        <w:t> </w:t>
      </w:r>
      <w:r w:rsidRPr="0022374B">
        <w:rPr>
          <w:rFonts w:ascii="Times New Roman" w:hAnsi="Times New Roman"/>
          <w:sz w:val="24"/>
          <w:szCs w:val="24"/>
        </w:rPr>
        <w:t>CP.7B présente le pourcentage d'hommes mariés avant l'âge de 15 ans. On l’a dit, les hommes se marient à des âges plus tardifs que les femmes. En effet, moins de 2 pour cent des hommes de 15-49 ans sont mariés avant l’âge de 15 ans. Cette proportion varie peu selon les caractéristiques socio-économiques de l’homme.</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Tableau CP.7B. Entrée en union précoce des hommes</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highlight w:val="green"/>
        </w:rPr>
      </w:pPr>
      <w:r w:rsidRPr="0022374B">
        <w:rPr>
          <w:rFonts w:ascii="Times New Roman" w:hAnsi="Times New Roman"/>
          <w:sz w:val="24"/>
          <w:szCs w:val="24"/>
        </w:rPr>
        <w:t>Pourcentage de l’Ensemble des hommes (15-49 ans), qui ont été mariées avant 15 ans selon les caractéristiques socio-économiques</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749"/>
        <w:gridCol w:w="76"/>
        <w:gridCol w:w="2820"/>
        <w:gridCol w:w="10"/>
        <w:gridCol w:w="14"/>
      </w:tblGrid>
      <w:tr w:rsidR="00B446D0" w:rsidRPr="0022374B" w:rsidTr="00CD18E4">
        <w:trPr>
          <w:gridAfter w:val="1"/>
          <w:wAfter w:w="14" w:type="dxa"/>
          <w:jc w:val="center"/>
        </w:trPr>
        <w:tc>
          <w:tcPr>
            <w:tcW w:w="2183" w:type="dxa"/>
            <w:vAlign w:val="center"/>
          </w:tcPr>
          <w:p w:rsidR="00B446D0" w:rsidRPr="0022374B" w:rsidRDefault="00B446D0" w:rsidP="0022374B">
            <w:pPr>
              <w:widowControl w:val="0"/>
              <w:spacing w:before="120"/>
              <w:jc w:val="both"/>
              <w:rPr>
                <w:rFonts w:ascii="Times New Roman" w:hAnsi="Times New Roman"/>
                <w:b/>
                <w:bCs/>
                <w:sz w:val="22"/>
                <w:szCs w:val="22"/>
              </w:rPr>
            </w:pPr>
          </w:p>
        </w:tc>
        <w:tc>
          <w:tcPr>
            <w:tcW w:w="4655" w:type="dxa"/>
            <w:gridSpan w:val="4"/>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Ensemble des hommes</w:t>
            </w:r>
          </w:p>
          <w:p w:rsidR="00B446D0" w:rsidRPr="0022374B" w:rsidRDefault="00B446D0" w:rsidP="0022374B">
            <w:pPr>
              <w:spacing w:before="120"/>
              <w:jc w:val="both"/>
              <w:rPr>
                <w:rFonts w:ascii="Times New Roman" w:hAnsi="Times New Roman"/>
                <w:sz w:val="22"/>
                <w:szCs w:val="22"/>
              </w:rPr>
            </w:pP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spacing w:before="120"/>
              <w:jc w:val="both"/>
              <w:rPr>
                <w:rFonts w:ascii="Times New Roman" w:hAnsi="Times New Roman"/>
                <w:bCs/>
                <w:sz w:val="22"/>
                <w:szCs w:val="22"/>
              </w:rPr>
            </w:pPr>
          </w:p>
        </w:tc>
        <w:tc>
          <w:tcPr>
            <w:tcW w:w="1749" w:type="dxa"/>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Marié &lt; 15 ans</w:t>
            </w:r>
          </w:p>
        </w:tc>
        <w:tc>
          <w:tcPr>
            <w:tcW w:w="2906" w:type="dxa"/>
            <w:gridSpan w:val="3"/>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N</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spacing w:before="120"/>
              <w:jc w:val="both"/>
              <w:rPr>
                <w:rFonts w:ascii="Times New Roman" w:hAnsi="Times New Roman"/>
                <w:bCs/>
                <w:sz w:val="22"/>
                <w:szCs w:val="22"/>
              </w:rPr>
            </w:pPr>
            <w:r w:rsidRPr="0022374B">
              <w:rPr>
                <w:rFonts w:ascii="Times New Roman" w:hAnsi="Times New Roman"/>
                <w:bCs/>
                <w:sz w:val="22"/>
                <w:szCs w:val="22"/>
              </w:rPr>
              <w:t>Total</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1,4</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4 371</w:t>
            </w:r>
          </w:p>
        </w:tc>
      </w:tr>
      <w:tr w:rsidR="00B446D0" w:rsidRPr="0022374B" w:rsidTr="00CD18E4">
        <w:trPr>
          <w:gridAfter w:val="2"/>
          <w:wAfter w:w="24" w:type="dxa"/>
          <w:jc w:val="center"/>
        </w:trPr>
        <w:tc>
          <w:tcPr>
            <w:tcW w:w="6828" w:type="dxa"/>
            <w:gridSpan w:val="4"/>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Département</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Alibori</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2,8</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266</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Atacora</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1,3</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356</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Atlantique</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1,9</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684</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Borgou</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0,9</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471</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Collines</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1,6</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293</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Couffo</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0,7</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359</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Donga</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0,5</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246</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Littoral</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0,5</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391</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Mono</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2,1</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220</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Ouémé</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0,4</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475</w:t>
            </w:r>
          </w:p>
        </w:tc>
      </w:tr>
      <w:tr w:rsidR="00B446D0" w:rsidRPr="0022374B" w:rsidTr="00CD18E4">
        <w:trPr>
          <w:gridAfter w:val="1"/>
          <w:wAfter w:w="14" w:type="dxa"/>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Plateau</w:t>
            </w:r>
          </w:p>
        </w:tc>
        <w:tc>
          <w:tcPr>
            <w:tcW w:w="1749" w:type="dxa"/>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2,4</w:t>
            </w:r>
          </w:p>
        </w:tc>
        <w:tc>
          <w:tcPr>
            <w:tcW w:w="2906"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262</w:t>
            </w:r>
          </w:p>
        </w:tc>
      </w:tr>
      <w:tr w:rsidR="00B446D0" w:rsidRPr="0022374B" w:rsidTr="00CD18E4">
        <w:trPr>
          <w:jc w:val="center"/>
        </w:trPr>
        <w:tc>
          <w:tcPr>
            <w:tcW w:w="2183" w:type="dxa"/>
            <w:vAlign w:val="center"/>
          </w:tcPr>
          <w:p w:rsidR="00B446D0" w:rsidRPr="0022374B" w:rsidRDefault="00B446D0" w:rsidP="0022374B">
            <w:pPr>
              <w:widowControl w:val="0"/>
              <w:tabs>
                <w:tab w:val="left" w:pos="142"/>
              </w:tabs>
              <w:spacing w:before="120"/>
              <w:jc w:val="both"/>
              <w:rPr>
                <w:rFonts w:ascii="Times New Roman" w:hAnsi="Times New Roman"/>
                <w:sz w:val="22"/>
                <w:szCs w:val="22"/>
              </w:rPr>
            </w:pPr>
            <w:r w:rsidRPr="0022374B">
              <w:rPr>
                <w:rFonts w:ascii="Times New Roman" w:hAnsi="Times New Roman"/>
                <w:sz w:val="22"/>
                <w:szCs w:val="22"/>
              </w:rPr>
              <w:t>Zou</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2,8</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348</w:t>
            </w:r>
          </w:p>
        </w:tc>
      </w:tr>
      <w:tr w:rsidR="00B446D0" w:rsidRPr="0022374B" w:rsidTr="00CD18E4">
        <w:trPr>
          <w:gridAfter w:val="2"/>
          <w:wAfter w:w="24" w:type="dxa"/>
          <w:jc w:val="center"/>
        </w:trPr>
        <w:tc>
          <w:tcPr>
            <w:tcW w:w="6828" w:type="dxa"/>
            <w:gridSpan w:val="4"/>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bCs/>
                <w:sz w:val="22"/>
                <w:szCs w:val="22"/>
              </w:rPr>
              <w:t>Milieu de résidence</w:t>
            </w:r>
          </w:p>
        </w:tc>
      </w:tr>
      <w:tr w:rsidR="00B446D0" w:rsidRPr="0022374B" w:rsidTr="00CD18E4">
        <w:trPr>
          <w:trHeight w:val="340"/>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Urbain</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0,9</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2 203</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Rural</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2,0</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2 168</w:t>
            </w:r>
          </w:p>
        </w:tc>
      </w:tr>
      <w:tr w:rsidR="00B446D0" w:rsidRPr="0022374B" w:rsidTr="00CD18E4">
        <w:trPr>
          <w:gridAfter w:val="2"/>
          <w:wAfter w:w="24" w:type="dxa"/>
          <w:jc w:val="center"/>
        </w:trPr>
        <w:tc>
          <w:tcPr>
            <w:tcW w:w="6828" w:type="dxa"/>
            <w:gridSpan w:val="4"/>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bCs/>
                <w:sz w:val="22"/>
                <w:szCs w:val="22"/>
              </w:rPr>
              <w:t>Instruction de l’homme</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Aucune</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2,2</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1 308</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Primaire</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1,5</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1 135</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Secondaire 1</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1,1</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1 051</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Secondaire 2 ou +</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0,6</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877</w:t>
            </w:r>
          </w:p>
        </w:tc>
      </w:tr>
      <w:tr w:rsidR="00B446D0" w:rsidRPr="0022374B" w:rsidTr="00CD18E4">
        <w:trPr>
          <w:gridAfter w:val="2"/>
          <w:wAfter w:w="24" w:type="dxa"/>
          <w:jc w:val="center"/>
        </w:trPr>
        <w:tc>
          <w:tcPr>
            <w:tcW w:w="6828" w:type="dxa"/>
            <w:gridSpan w:val="4"/>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bCs/>
                <w:sz w:val="22"/>
                <w:szCs w:val="22"/>
              </w:rPr>
              <w:t>Indice de bien-être économique</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Le plus pauvre</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1,3</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821</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Second</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1,6</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809</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Moyen</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2,1</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891</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Quatrième</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1,6</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845</w:t>
            </w:r>
          </w:p>
        </w:tc>
      </w:tr>
      <w:tr w:rsidR="00B446D0" w:rsidRPr="0022374B" w:rsidTr="00CD18E4">
        <w:trPr>
          <w:jc w:val="center"/>
        </w:trPr>
        <w:tc>
          <w:tcPr>
            <w:tcW w:w="2183" w:type="dxa"/>
            <w:vAlign w:val="center"/>
          </w:tcPr>
          <w:p w:rsidR="00B446D0" w:rsidRPr="0022374B" w:rsidRDefault="00B446D0" w:rsidP="0022374B">
            <w:pPr>
              <w:widowControl w:val="0"/>
              <w:spacing w:before="120"/>
              <w:ind w:firstLineChars="100" w:firstLine="220"/>
              <w:jc w:val="both"/>
              <w:rPr>
                <w:rFonts w:ascii="Times New Roman" w:hAnsi="Times New Roman"/>
                <w:sz w:val="22"/>
                <w:szCs w:val="22"/>
              </w:rPr>
            </w:pPr>
            <w:r w:rsidRPr="0022374B">
              <w:rPr>
                <w:rFonts w:ascii="Times New Roman" w:hAnsi="Times New Roman"/>
                <w:sz w:val="22"/>
                <w:szCs w:val="22"/>
              </w:rPr>
              <w:t>Le plus riche</w:t>
            </w:r>
          </w:p>
        </w:tc>
        <w:tc>
          <w:tcPr>
            <w:tcW w:w="1825" w:type="dxa"/>
            <w:gridSpan w:val="2"/>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0,6</w:t>
            </w:r>
          </w:p>
        </w:tc>
        <w:tc>
          <w:tcPr>
            <w:tcW w:w="2844" w:type="dxa"/>
            <w:gridSpan w:val="3"/>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1 005</w:t>
            </w:r>
          </w:p>
        </w:tc>
      </w:tr>
    </w:tbl>
    <w:p w:rsidR="00B446D0" w:rsidRPr="0022374B" w:rsidRDefault="00B446D0" w:rsidP="0022374B">
      <w:pPr>
        <w:widowControl w:val="0"/>
        <w:spacing w:before="120"/>
        <w:jc w:val="both"/>
        <w:rPr>
          <w:rFonts w:ascii="Times New Roman" w:hAnsi="Times New Roman"/>
          <w:b/>
          <w:spacing w:val="30"/>
          <w:sz w:val="24"/>
          <w:szCs w:val="24"/>
        </w:rPr>
      </w:pPr>
    </w:p>
    <w:p w:rsidR="00B446D0" w:rsidRPr="0022374B" w:rsidRDefault="00B446D0" w:rsidP="0022374B">
      <w:pPr>
        <w:widowControl w:val="0"/>
        <w:spacing w:before="120"/>
        <w:jc w:val="both"/>
        <w:rPr>
          <w:rFonts w:ascii="Times New Roman" w:hAnsi="Times New Roman"/>
          <w:b/>
          <w:bCs/>
          <w:sz w:val="24"/>
          <w:szCs w:val="24"/>
        </w:rPr>
      </w:pPr>
      <w:r w:rsidRPr="0022374B">
        <w:rPr>
          <w:rFonts w:ascii="Times New Roman" w:hAnsi="Times New Roman"/>
          <w:b/>
          <w:sz w:val="24"/>
          <w:szCs w:val="24"/>
        </w:rPr>
        <w:t>Adolescents et Jeunes adultes</w:t>
      </w:r>
    </w:p>
    <w:p w:rsidR="00B446D0" w:rsidRPr="0022374B" w:rsidRDefault="00B446D0" w:rsidP="0022374B">
      <w:pPr>
        <w:widowControl w:val="0"/>
        <w:spacing w:before="120"/>
        <w:jc w:val="both"/>
        <w:rPr>
          <w:rFonts w:ascii="Times New Roman" w:hAnsi="Times New Roman"/>
          <w:sz w:val="24"/>
          <w:szCs w:val="24"/>
        </w:rPr>
      </w:pPr>
    </w:p>
    <w:p w:rsidR="00B446D0"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L’analyse des mariages précoces parmi les adolescents et les jeunes adultes, quia été également été tentée sur l’échantillon des hommes s’est révélée impossible. Comme le montre le tableau ci-dessous un très faible nombre d’hommes dans l’échantillon ont été mariés avant quinze ans. Ceci exclut a fortiori de conduire des analyses différentielles selon les variables socio-économiques.</w:t>
      </w:r>
    </w:p>
    <w:p w:rsidR="008870D4" w:rsidRPr="0022374B" w:rsidRDefault="008870D4" w:rsidP="0022374B">
      <w:pPr>
        <w:widowControl w:val="0"/>
        <w:spacing w:before="120"/>
        <w:jc w:val="both"/>
        <w:rPr>
          <w:rFonts w:ascii="Times New Roman" w:hAnsi="Times New Roman"/>
          <w:sz w:val="24"/>
          <w:szCs w:val="24"/>
        </w:rPr>
      </w:pPr>
    </w:p>
    <w:p w:rsidR="00B446D0" w:rsidRPr="0022374B" w:rsidRDefault="00B446D0" w:rsidP="008870D4">
      <w:pPr>
        <w:widowControl w:val="0"/>
        <w:spacing w:before="120"/>
        <w:jc w:val="center"/>
        <w:rPr>
          <w:rFonts w:ascii="Times New Roman" w:hAnsi="Times New Roman"/>
          <w:b/>
          <w:spacing w:val="30"/>
          <w:sz w:val="24"/>
          <w:szCs w:val="24"/>
        </w:rPr>
      </w:pPr>
      <w:r w:rsidRPr="0022374B">
        <w:rPr>
          <w:rFonts w:ascii="Times New Roman" w:hAnsi="Times New Roman"/>
          <w:b/>
          <w:sz w:val="24"/>
          <w:szCs w:val="24"/>
        </w:rPr>
        <w:t xml:space="preserve">Tableau CP.7C. </w:t>
      </w:r>
      <w:r w:rsidRPr="0022374B">
        <w:rPr>
          <w:rFonts w:ascii="Times New Roman" w:hAnsi="Times New Roman"/>
          <w:b/>
          <w:spacing w:val="30"/>
          <w:sz w:val="24"/>
          <w:szCs w:val="24"/>
        </w:rPr>
        <w:t>Répartition des hommes mariés avant 15 ans</w:t>
      </w:r>
    </w:p>
    <w:p w:rsidR="00B446D0" w:rsidRPr="0022374B" w:rsidRDefault="00B446D0" w:rsidP="008870D4">
      <w:pPr>
        <w:widowControl w:val="0"/>
        <w:spacing w:before="120"/>
        <w:jc w:val="center"/>
        <w:rPr>
          <w:rFonts w:ascii="Times New Roman" w:hAnsi="Times New Roman"/>
          <w:spacing w:val="30"/>
          <w:sz w:val="24"/>
          <w:szCs w:val="24"/>
        </w:rPr>
      </w:pPr>
    </w:p>
    <w:p w:rsidR="00B446D0" w:rsidRPr="0022374B" w:rsidRDefault="00B446D0" w:rsidP="008870D4">
      <w:pPr>
        <w:widowControl w:val="0"/>
        <w:spacing w:before="120"/>
        <w:jc w:val="center"/>
        <w:rPr>
          <w:rFonts w:ascii="Times New Roman" w:hAnsi="Times New Roman"/>
          <w:b/>
          <w:spacing w:val="30"/>
          <w:sz w:val="24"/>
          <w:szCs w:val="24"/>
        </w:rPr>
      </w:pPr>
      <w:r w:rsidRPr="0022374B">
        <w:rPr>
          <w:rFonts w:ascii="Times New Roman" w:hAnsi="Times New Roman"/>
          <w:spacing w:val="30"/>
          <w:sz w:val="24"/>
          <w:szCs w:val="24"/>
        </w:rPr>
        <w:t>(Nombres absolus figurant dans l’échantillon</w:t>
      </w:r>
      <w:r w:rsidRPr="0022374B">
        <w:rPr>
          <w:rFonts w:ascii="Times New Roman" w:hAnsi="Times New Roman"/>
          <w:b/>
          <w:spacing w:val="30"/>
          <w:sz w:val="24"/>
          <w:szCs w:val="24"/>
        </w:rPr>
        <w:t>)</w:t>
      </w:r>
    </w:p>
    <w:tbl>
      <w:tblPr>
        <w:tblStyle w:val="Grilledutableau"/>
        <w:tblW w:w="0" w:type="auto"/>
        <w:jc w:val="center"/>
        <w:tblLook w:val="04A0" w:firstRow="1" w:lastRow="0" w:firstColumn="1" w:lastColumn="0" w:noHBand="0" w:noVBand="1"/>
      </w:tblPr>
      <w:tblGrid>
        <w:gridCol w:w="754"/>
        <w:gridCol w:w="877"/>
        <w:gridCol w:w="831"/>
        <w:gridCol w:w="788"/>
        <w:gridCol w:w="791"/>
        <w:gridCol w:w="908"/>
        <w:gridCol w:w="823"/>
        <w:gridCol w:w="681"/>
      </w:tblGrid>
      <w:tr w:rsidR="00B446D0" w:rsidRPr="0022374B" w:rsidTr="00CD18E4">
        <w:trPr>
          <w:jc w:val="center"/>
        </w:trPr>
        <w:tc>
          <w:tcPr>
            <w:tcW w:w="754" w:type="dxa"/>
            <w:shd w:val="clear" w:color="auto" w:fill="auto"/>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15-19</w:t>
            </w:r>
          </w:p>
        </w:tc>
        <w:tc>
          <w:tcPr>
            <w:tcW w:w="877"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20-24</w:t>
            </w:r>
          </w:p>
        </w:tc>
        <w:tc>
          <w:tcPr>
            <w:tcW w:w="83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25-29</w:t>
            </w:r>
          </w:p>
        </w:tc>
        <w:tc>
          <w:tcPr>
            <w:tcW w:w="788"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30-34</w:t>
            </w:r>
          </w:p>
        </w:tc>
        <w:tc>
          <w:tcPr>
            <w:tcW w:w="79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35-39</w:t>
            </w:r>
          </w:p>
        </w:tc>
        <w:tc>
          <w:tcPr>
            <w:tcW w:w="908"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40-44</w:t>
            </w:r>
          </w:p>
        </w:tc>
        <w:tc>
          <w:tcPr>
            <w:tcW w:w="823"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45-49</w:t>
            </w:r>
          </w:p>
        </w:tc>
        <w:tc>
          <w:tcPr>
            <w:tcW w:w="68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Total</w:t>
            </w:r>
          </w:p>
        </w:tc>
      </w:tr>
      <w:tr w:rsidR="00B446D0" w:rsidRPr="0022374B" w:rsidTr="00CD18E4">
        <w:trPr>
          <w:jc w:val="center"/>
        </w:trPr>
        <w:tc>
          <w:tcPr>
            <w:tcW w:w="754" w:type="dxa"/>
            <w:shd w:val="clear" w:color="auto" w:fill="auto"/>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w:t>
            </w:r>
          </w:p>
        </w:tc>
        <w:tc>
          <w:tcPr>
            <w:tcW w:w="877"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w:t>
            </w:r>
          </w:p>
        </w:tc>
        <w:tc>
          <w:tcPr>
            <w:tcW w:w="83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13</w:t>
            </w:r>
          </w:p>
        </w:tc>
        <w:tc>
          <w:tcPr>
            <w:tcW w:w="788"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21</w:t>
            </w:r>
          </w:p>
        </w:tc>
        <w:tc>
          <w:tcPr>
            <w:tcW w:w="79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11</w:t>
            </w:r>
          </w:p>
        </w:tc>
        <w:tc>
          <w:tcPr>
            <w:tcW w:w="908"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13</w:t>
            </w:r>
          </w:p>
        </w:tc>
        <w:tc>
          <w:tcPr>
            <w:tcW w:w="823"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w:t>
            </w:r>
          </w:p>
        </w:tc>
        <w:tc>
          <w:tcPr>
            <w:tcW w:w="68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62</w:t>
            </w:r>
          </w:p>
        </w:tc>
      </w:tr>
    </w:tbl>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L’explication est évidemment d’ordre sociologique et anthropologique. Il est impossible dans la société béninoise de se marier jeune. En effet, pour accéder au statut de chef de ménage, conditions absolues pour se marier, il faut avoir préalablement acquis une autonomie économique et sociale, faute de quoi l’homme reste sous la dépendance de son père ou d’un autre homme, en tout cas d’un chef de ménage plus âgé. En milieu urbain comme en milieu rural il lui faut avoir réuni des ressources économiques de quelque nature qu’elles soient (monétaires, financières ou accès à la propriété) suffisantes pour se marier. Dans les milieux les plus favorisés, l’homme doit avoir terminé ses études et trouvé un emploi. La combinaison de ces facteurs économiques et des règles de conclusion des mariages, notamment la compensation matrimoniale, expliquent donc que les hommes jeunes sont souvent contraints de rester dans la catégorie des adolescents et que la nuptialité des hommes est beaucoup plus tardive que celle des femmes.</w:t>
      </w:r>
    </w:p>
    <w:p w:rsidR="00B446D0" w:rsidRPr="0022374B" w:rsidRDefault="00B446D0" w:rsidP="0022374B">
      <w:pPr>
        <w:widowControl w:val="0"/>
        <w:spacing w:before="120"/>
        <w:jc w:val="both"/>
        <w:rPr>
          <w:rFonts w:ascii="Times New Roman" w:hAnsi="Times New Roman"/>
          <w:noProof/>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spacing w:before="120"/>
        <w:jc w:val="both"/>
        <w:rPr>
          <w:rFonts w:ascii="Times New Roman" w:hAnsi="Times New Roman"/>
          <w:b/>
          <w:noProof/>
          <w:sz w:val="24"/>
          <w:szCs w:val="24"/>
        </w:rPr>
      </w:pPr>
      <w:r w:rsidRPr="0022374B">
        <w:rPr>
          <w:rFonts w:ascii="Times New Roman" w:hAnsi="Times New Roman"/>
          <w:b/>
          <w:noProof/>
          <w:sz w:val="24"/>
          <w:szCs w:val="24"/>
        </w:rPr>
        <w:t xml:space="preserve">4. ECART D’AGE ET POLYGAMIE </w:t>
      </w:r>
    </w:p>
    <w:p w:rsidR="00B446D0" w:rsidRPr="0022374B" w:rsidRDefault="00B446D0" w:rsidP="0022374B">
      <w:pPr>
        <w:widowControl w:val="0"/>
        <w:spacing w:before="120"/>
        <w:jc w:val="both"/>
        <w:rPr>
          <w:rFonts w:ascii="Times New Roman" w:hAnsi="Times New Roman"/>
          <w:sz w:val="24"/>
          <w:szCs w:val="24"/>
          <w:highlight w:val="yellow"/>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L’indicateur retenu pour mesurer la différence d'âge entre conjoints est le pourcentage de femmes mariées/en union qui sont 10 ans, ou plus, plus jeunes que leur conjoint actuel. Précisons d’abord la relation entre écart d’âge et polygamie en distinguant selon qu’il s’agit d’un homme d’une femme</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4.1 Relation entre écart d’âge et polygamie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La relation entre l’écart d’âge et la polygamie est évidente pour les hommes. En effet, le processus classique est que l’homme commence par une union monogamique. L’âge avançant il prend une deuxième épouse, éventuellement une troisième et quatrième. Par conséquent, toutes choses égales par ailleurs, on peut penser que plus le mariage est précoce plus la probabilité de se trouver en union monogamique augmente.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Pour les femmes le raisonnement est différent. Si l’on admet que la polygamie comme le mariage précoce sont plus fréquents dans les milieux défavorisés, on devrait trouver une </w:t>
      </w:r>
      <w:r w:rsidRPr="0022374B">
        <w:rPr>
          <w:rFonts w:ascii="Times New Roman" w:hAnsi="Times New Roman"/>
          <w:sz w:val="24"/>
          <w:szCs w:val="24"/>
        </w:rPr>
        <w:lastRenderedPageBreak/>
        <w:t xml:space="preserve">corrélation entre ces deux indicateurs. Par exemple en milieu rural, le mariage précoce est associé à une scolarité courte, tandis que la polygamie est un facteur important car le nombre d’épouses, et donc la taille de la famille, contribuent à la richesse de l’exploitation puisque le ménage dispose d’une force de travail plus nombreuse. Le tableau CP.9 confirme ce raisonnement. Il montre qu’un écart d’âge faible est beaucoup plus fréquent dans les unions monogamiques. Et corrélativement il l’est moins parmi celles en union polygamique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sz w:val="24"/>
          <w:szCs w:val="24"/>
        </w:rPr>
        <w:t>Tableau CP. 9A. Relation entre écart d’âge et polygamie</w:t>
      </w:r>
    </w:p>
    <w:tbl>
      <w:tblPr>
        <w:tblStyle w:val="Grilledutableau"/>
        <w:tblW w:w="0" w:type="auto"/>
        <w:jc w:val="center"/>
        <w:tblLook w:val="04A0" w:firstRow="1" w:lastRow="0" w:firstColumn="1" w:lastColumn="0" w:noHBand="0" w:noVBand="1"/>
      </w:tblPr>
      <w:tblGrid>
        <w:gridCol w:w="2303"/>
        <w:gridCol w:w="2303"/>
        <w:gridCol w:w="2303"/>
      </w:tblGrid>
      <w:tr w:rsidR="00B446D0" w:rsidRPr="0022374B" w:rsidTr="00CD18E4">
        <w:trPr>
          <w:jc w:val="center"/>
        </w:trPr>
        <w:tc>
          <w:tcPr>
            <w:tcW w:w="2303" w:type="dxa"/>
          </w:tcPr>
          <w:p w:rsidR="00B446D0" w:rsidRPr="0022374B" w:rsidRDefault="00B446D0" w:rsidP="0022374B">
            <w:pPr>
              <w:widowControl w:val="0"/>
              <w:spacing w:before="120"/>
              <w:jc w:val="both"/>
              <w:rPr>
                <w:rFonts w:ascii="Times New Roman" w:hAnsi="Times New Roman"/>
                <w:b/>
                <w:sz w:val="24"/>
                <w:szCs w:val="24"/>
              </w:rPr>
            </w:pPr>
          </w:p>
        </w:tc>
        <w:tc>
          <w:tcPr>
            <w:tcW w:w="2303" w:type="dxa"/>
          </w:tcPr>
          <w:p w:rsidR="00B446D0" w:rsidRPr="0022374B" w:rsidRDefault="00B446D0" w:rsidP="0022374B">
            <w:pPr>
              <w:widowControl w:val="0"/>
              <w:spacing w:before="120"/>
              <w:jc w:val="both"/>
              <w:rPr>
                <w:rFonts w:ascii="Times New Roman" w:hAnsi="Times New Roman"/>
                <w:b/>
                <w:sz w:val="24"/>
                <w:szCs w:val="24"/>
              </w:rPr>
            </w:pPr>
          </w:p>
        </w:tc>
        <w:tc>
          <w:tcPr>
            <w:tcW w:w="2303" w:type="dxa"/>
          </w:tcPr>
          <w:p w:rsidR="00B446D0" w:rsidRPr="0022374B" w:rsidRDefault="00B446D0" w:rsidP="0022374B">
            <w:pPr>
              <w:widowControl w:val="0"/>
              <w:spacing w:before="120"/>
              <w:jc w:val="both"/>
              <w:rPr>
                <w:rFonts w:ascii="Times New Roman" w:hAnsi="Times New Roman"/>
                <w:b/>
                <w:sz w:val="24"/>
                <w:szCs w:val="24"/>
              </w:rPr>
            </w:pPr>
          </w:p>
        </w:tc>
      </w:tr>
      <w:tr w:rsidR="00B446D0" w:rsidRPr="0022374B" w:rsidTr="00CD18E4">
        <w:trPr>
          <w:jc w:val="center"/>
        </w:trPr>
        <w:tc>
          <w:tcPr>
            <w:tcW w:w="2303" w:type="dxa"/>
          </w:tcPr>
          <w:p w:rsidR="00B446D0" w:rsidRPr="0022374B" w:rsidRDefault="00B446D0" w:rsidP="0022374B">
            <w:pPr>
              <w:widowControl w:val="0"/>
              <w:spacing w:before="120"/>
              <w:jc w:val="both"/>
              <w:rPr>
                <w:rFonts w:ascii="Times New Roman" w:hAnsi="Times New Roman"/>
                <w:b/>
                <w:bCs/>
                <w:sz w:val="24"/>
                <w:szCs w:val="24"/>
              </w:rPr>
            </w:pPr>
            <w:r w:rsidRPr="0022374B">
              <w:rPr>
                <w:rFonts w:ascii="Times New Roman" w:hAnsi="Times New Roman"/>
                <w:b/>
                <w:bCs/>
                <w:sz w:val="24"/>
                <w:szCs w:val="24"/>
              </w:rPr>
              <w:t>Femme</w:t>
            </w:r>
          </w:p>
        </w:tc>
        <w:tc>
          <w:tcPr>
            <w:tcW w:w="2303" w:type="dxa"/>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en union monogamique</w:t>
            </w:r>
          </w:p>
        </w:tc>
        <w:tc>
          <w:tcPr>
            <w:tcW w:w="2303" w:type="dxa"/>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en union polygamique</w:t>
            </w:r>
          </w:p>
        </w:tc>
      </w:tr>
      <w:tr w:rsidR="00B446D0" w:rsidRPr="0022374B" w:rsidTr="00CD18E4">
        <w:trPr>
          <w:jc w:val="center"/>
        </w:trPr>
        <w:tc>
          <w:tcPr>
            <w:tcW w:w="2303" w:type="dxa"/>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Ecart d’âge  ≥10 ans</w:t>
            </w:r>
          </w:p>
        </w:tc>
        <w:tc>
          <w:tcPr>
            <w:tcW w:w="2303" w:type="dxa"/>
          </w:tcPr>
          <w:p w:rsidR="00B446D0" w:rsidRPr="0022374B" w:rsidRDefault="00B446D0" w:rsidP="0022374B">
            <w:pPr>
              <w:spacing w:before="120"/>
              <w:jc w:val="both"/>
              <w:rPr>
                <w:rFonts w:ascii="Times New Roman" w:hAnsi="Times New Roman"/>
                <w:b/>
                <w:bCs/>
                <w:color w:val="000000"/>
                <w:sz w:val="24"/>
                <w:szCs w:val="24"/>
              </w:rPr>
            </w:pPr>
            <w:r w:rsidRPr="0022374B">
              <w:rPr>
                <w:rFonts w:ascii="Times New Roman" w:hAnsi="Times New Roman"/>
                <w:b/>
                <w:bCs/>
                <w:color w:val="000000"/>
                <w:sz w:val="24"/>
                <w:szCs w:val="24"/>
              </w:rPr>
              <w:t>13,7</w:t>
            </w:r>
          </w:p>
        </w:tc>
        <w:tc>
          <w:tcPr>
            <w:tcW w:w="2303" w:type="dxa"/>
          </w:tcPr>
          <w:p w:rsidR="00B446D0" w:rsidRPr="0022374B" w:rsidRDefault="00B446D0" w:rsidP="0022374B">
            <w:pPr>
              <w:spacing w:before="120"/>
              <w:jc w:val="both"/>
              <w:rPr>
                <w:rFonts w:ascii="Times New Roman" w:hAnsi="Times New Roman"/>
                <w:b/>
                <w:bCs/>
                <w:color w:val="000000"/>
                <w:sz w:val="24"/>
                <w:szCs w:val="24"/>
              </w:rPr>
            </w:pPr>
            <w:r w:rsidRPr="0022374B">
              <w:rPr>
                <w:rFonts w:ascii="Times New Roman" w:hAnsi="Times New Roman"/>
                <w:b/>
                <w:bCs/>
                <w:color w:val="000000"/>
                <w:sz w:val="24"/>
                <w:szCs w:val="24"/>
              </w:rPr>
              <w:t>18,3</w:t>
            </w:r>
          </w:p>
        </w:tc>
      </w:tr>
      <w:tr w:rsidR="00B446D0" w:rsidRPr="0022374B" w:rsidTr="00CD18E4">
        <w:trPr>
          <w:jc w:val="center"/>
        </w:trPr>
        <w:tc>
          <w:tcPr>
            <w:tcW w:w="2303" w:type="dxa"/>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Ecart d’âge &lt; 10 ans</w:t>
            </w:r>
          </w:p>
        </w:tc>
        <w:tc>
          <w:tcPr>
            <w:tcW w:w="2303" w:type="dxa"/>
          </w:tcPr>
          <w:p w:rsidR="00B446D0" w:rsidRPr="0022374B" w:rsidRDefault="00B446D0" w:rsidP="0022374B">
            <w:pPr>
              <w:spacing w:before="120"/>
              <w:jc w:val="both"/>
              <w:rPr>
                <w:rFonts w:ascii="Times New Roman" w:hAnsi="Times New Roman"/>
                <w:b/>
                <w:bCs/>
                <w:color w:val="000000"/>
                <w:sz w:val="24"/>
                <w:szCs w:val="24"/>
              </w:rPr>
            </w:pPr>
            <w:r w:rsidRPr="0022374B">
              <w:rPr>
                <w:rFonts w:ascii="Times New Roman" w:hAnsi="Times New Roman"/>
                <w:b/>
                <w:bCs/>
                <w:color w:val="000000"/>
                <w:sz w:val="24"/>
                <w:szCs w:val="24"/>
              </w:rPr>
              <w:t>44,3</w:t>
            </w:r>
          </w:p>
        </w:tc>
        <w:tc>
          <w:tcPr>
            <w:tcW w:w="2303" w:type="dxa"/>
          </w:tcPr>
          <w:p w:rsidR="00B446D0" w:rsidRPr="0022374B" w:rsidRDefault="00B446D0" w:rsidP="0022374B">
            <w:pPr>
              <w:spacing w:before="120"/>
              <w:jc w:val="both"/>
              <w:rPr>
                <w:rFonts w:ascii="Times New Roman" w:hAnsi="Times New Roman"/>
                <w:b/>
                <w:bCs/>
                <w:color w:val="000000"/>
                <w:sz w:val="24"/>
                <w:szCs w:val="24"/>
              </w:rPr>
            </w:pPr>
            <w:r w:rsidRPr="0022374B">
              <w:rPr>
                <w:rFonts w:ascii="Times New Roman" w:hAnsi="Times New Roman"/>
                <w:b/>
                <w:bCs/>
                <w:color w:val="000000"/>
                <w:sz w:val="24"/>
                <w:szCs w:val="24"/>
              </w:rPr>
              <w:t>22,9</w:t>
            </w:r>
          </w:p>
        </w:tc>
      </w:tr>
      <w:tr w:rsidR="00B446D0" w:rsidRPr="0022374B" w:rsidTr="00CD18E4">
        <w:trPr>
          <w:jc w:val="center"/>
        </w:trPr>
        <w:tc>
          <w:tcPr>
            <w:tcW w:w="2303" w:type="dxa"/>
          </w:tcPr>
          <w:p w:rsidR="00B446D0" w:rsidRPr="0022374B" w:rsidRDefault="00B446D0" w:rsidP="0022374B">
            <w:pPr>
              <w:widowControl w:val="0"/>
              <w:spacing w:before="120"/>
              <w:jc w:val="both"/>
              <w:rPr>
                <w:rFonts w:ascii="Times New Roman" w:hAnsi="Times New Roman"/>
                <w:sz w:val="24"/>
                <w:szCs w:val="24"/>
              </w:rPr>
            </w:pPr>
          </w:p>
        </w:tc>
        <w:tc>
          <w:tcPr>
            <w:tcW w:w="2303" w:type="dxa"/>
          </w:tcPr>
          <w:p w:rsidR="00B446D0" w:rsidRPr="0022374B" w:rsidRDefault="00B446D0" w:rsidP="0022374B">
            <w:pPr>
              <w:spacing w:before="120"/>
              <w:jc w:val="both"/>
              <w:rPr>
                <w:rFonts w:ascii="Times New Roman" w:hAnsi="Times New Roman"/>
                <w:b/>
                <w:bCs/>
                <w:color w:val="000000"/>
                <w:sz w:val="24"/>
                <w:szCs w:val="24"/>
              </w:rPr>
            </w:pPr>
            <w:r w:rsidRPr="0022374B">
              <w:rPr>
                <w:rFonts w:ascii="Times New Roman" w:hAnsi="Times New Roman"/>
                <w:b/>
                <w:bCs/>
                <w:color w:val="000000"/>
                <w:sz w:val="24"/>
                <w:szCs w:val="24"/>
              </w:rPr>
              <w:t>100</w:t>
            </w:r>
          </w:p>
        </w:tc>
        <w:tc>
          <w:tcPr>
            <w:tcW w:w="2303" w:type="dxa"/>
          </w:tcPr>
          <w:p w:rsidR="00B446D0" w:rsidRPr="0022374B" w:rsidRDefault="00B446D0" w:rsidP="0022374B">
            <w:pPr>
              <w:spacing w:before="120"/>
              <w:jc w:val="both"/>
              <w:rPr>
                <w:rFonts w:ascii="Times New Roman" w:hAnsi="Times New Roman"/>
                <w:b/>
                <w:bCs/>
                <w:color w:val="000000"/>
                <w:sz w:val="24"/>
                <w:szCs w:val="24"/>
              </w:rPr>
            </w:pPr>
            <w:r w:rsidRPr="0022374B">
              <w:rPr>
                <w:rFonts w:ascii="Times New Roman" w:hAnsi="Times New Roman"/>
                <w:b/>
                <w:bCs/>
                <w:color w:val="000000"/>
                <w:sz w:val="24"/>
                <w:szCs w:val="24"/>
              </w:rPr>
              <w:t>100</w:t>
            </w:r>
          </w:p>
        </w:tc>
      </w:tr>
    </w:tbl>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4.2 Analyse différentielle</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 tableau</w:t>
      </w:r>
      <w:r w:rsidRPr="0022374B">
        <w:rPr>
          <w:rFonts w:ascii="Times New Roman" w:hAnsi="Times New Roman"/>
          <w:color w:val="000000"/>
          <w:sz w:val="24"/>
          <w:szCs w:val="24"/>
          <w:lang w:eastAsia="zh-TW"/>
        </w:rPr>
        <w:t> </w:t>
      </w:r>
      <w:r w:rsidRPr="0022374B">
        <w:rPr>
          <w:rFonts w:ascii="Times New Roman" w:hAnsi="Times New Roman"/>
          <w:sz w:val="24"/>
          <w:szCs w:val="24"/>
        </w:rPr>
        <w:t>CP.9B présente les variations dans les écarts d’âge et la polygamie selon les caractéristiques socio-économiques.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sz w:val="24"/>
          <w:szCs w:val="24"/>
        </w:rPr>
        <w:t>Tableau CP.9B. Différences d’âge entre conjoints et polygamie</w:t>
      </w:r>
    </w:p>
    <w:p w:rsidR="00B446D0" w:rsidRPr="0022374B" w:rsidRDefault="00B446D0" w:rsidP="008870D4">
      <w:pPr>
        <w:widowControl w:val="0"/>
        <w:spacing w:before="120"/>
        <w:jc w:val="center"/>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Pourcentage de jeunes femmes qui sont mariées ou en union et dont le conjoint est de 10 ans ou plus, plus âgé qu’elles parmi les Adolescentes (15-19 ans) et les Jeunes adultes (20-24</w:t>
      </w:r>
      <w:r w:rsidRPr="0022374B">
        <w:rPr>
          <w:rFonts w:ascii="Times New Roman" w:hAnsi="Times New Roman"/>
          <w:color w:val="000000"/>
          <w:sz w:val="24"/>
          <w:szCs w:val="24"/>
        </w:rPr>
        <w:t xml:space="preserve"> </w:t>
      </w:r>
      <w:r w:rsidRPr="0022374B">
        <w:rPr>
          <w:rFonts w:ascii="Times New Roman" w:hAnsi="Times New Roman"/>
          <w:sz w:val="24"/>
          <w:szCs w:val="24"/>
        </w:rPr>
        <w:t>ans) et l’Ensemble des femmes (15-49 ans) selon les caractéristiques socio-économiques.</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30"/>
        <w:gridCol w:w="503"/>
        <w:gridCol w:w="112"/>
        <w:gridCol w:w="1210"/>
        <w:gridCol w:w="531"/>
        <w:gridCol w:w="583"/>
        <w:gridCol w:w="1312"/>
        <w:gridCol w:w="636"/>
        <w:gridCol w:w="583"/>
        <w:gridCol w:w="1312"/>
        <w:gridCol w:w="20"/>
        <w:gridCol w:w="730"/>
      </w:tblGrid>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b/>
                <w:bCs/>
                <w:sz w:val="22"/>
                <w:szCs w:val="22"/>
              </w:rPr>
            </w:pPr>
          </w:p>
        </w:tc>
        <w:tc>
          <w:tcPr>
            <w:tcW w:w="2511" w:type="dxa"/>
            <w:gridSpan w:val="5"/>
            <w:shd w:val="clear" w:color="auto" w:fill="auto"/>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Adolescentes</w:t>
            </w:r>
          </w:p>
        </w:tc>
        <w:tc>
          <w:tcPr>
            <w:tcW w:w="2475" w:type="dxa"/>
            <w:gridSpan w:val="3"/>
            <w:shd w:val="clear" w:color="auto" w:fill="auto"/>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Jeunes femmes</w:t>
            </w:r>
          </w:p>
        </w:tc>
        <w:tc>
          <w:tcPr>
            <w:tcW w:w="2581" w:type="dxa"/>
            <w:gridSpan w:val="4"/>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Ensemble des femmes</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b/>
                <w:bCs/>
                <w:sz w:val="22"/>
                <w:szCs w:val="22"/>
              </w:rPr>
            </w:pPr>
          </w:p>
        </w:tc>
        <w:tc>
          <w:tcPr>
            <w:tcW w:w="703" w:type="dxa"/>
            <w:gridSpan w:val="2"/>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10 ans ou plus</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En union polygamique</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N</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10 ans ou plus</w:t>
            </w:r>
          </w:p>
        </w:tc>
        <w:tc>
          <w:tcPr>
            <w:tcW w:w="1299"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En union polygamique</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N</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10 ans ou plus</w:t>
            </w:r>
          </w:p>
        </w:tc>
        <w:tc>
          <w:tcPr>
            <w:tcW w:w="1299"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En union polygamique</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N</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bCs/>
                <w:sz w:val="22"/>
                <w:szCs w:val="22"/>
              </w:rPr>
            </w:pPr>
            <w:r w:rsidRPr="0022374B">
              <w:rPr>
                <w:rFonts w:ascii="Times New Roman" w:hAnsi="Times New Roman"/>
                <w:bCs/>
                <w:sz w:val="22"/>
                <w:szCs w:val="22"/>
              </w:rPr>
              <w:t>Total</w:t>
            </w:r>
          </w:p>
        </w:tc>
        <w:tc>
          <w:tcPr>
            <w:tcW w:w="703" w:type="dxa"/>
            <w:gridSpan w:val="2"/>
            <w:shd w:val="clear" w:color="auto" w:fill="auto"/>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30,8</w:t>
            </w:r>
          </w:p>
        </w:tc>
        <w:tc>
          <w:tcPr>
            <w:tcW w:w="1299" w:type="dxa"/>
            <w:gridSpan w:val="2"/>
            <w:shd w:val="clear" w:color="auto" w:fill="auto"/>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25,0</w:t>
            </w:r>
          </w:p>
        </w:tc>
        <w:tc>
          <w:tcPr>
            <w:tcW w:w="509" w:type="dxa"/>
            <w:shd w:val="clear" w:color="auto" w:fill="auto"/>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497</w:t>
            </w:r>
          </w:p>
        </w:tc>
        <w:tc>
          <w:tcPr>
            <w:tcW w:w="562" w:type="dxa"/>
            <w:shd w:val="clear" w:color="auto" w:fill="auto"/>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30,2</w:t>
            </w:r>
          </w:p>
        </w:tc>
        <w:tc>
          <w:tcPr>
            <w:tcW w:w="1299" w:type="dxa"/>
            <w:shd w:val="clear" w:color="auto" w:fill="auto"/>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30,4</w:t>
            </w:r>
          </w:p>
        </w:tc>
        <w:tc>
          <w:tcPr>
            <w:tcW w:w="615" w:type="dxa"/>
            <w:shd w:val="clear" w:color="auto" w:fill="auto"/>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1724</w:t>
            </w:r>
          </w:p>
        </w:tc>
        <w:tc>
          <w:tcPr>
            <w:tcW w:w="562" w:type="dxa"/>
            <w:shd w:val="clear" w:color="auto" w:fill="auto"/>
            <w:vAlign w:val="center"/>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32,0</w:t>
            </w:r>
          </w:p>
        </w:tc>
        <w:tc>
          <w:tcPr>
            <w:tcW w:w="1299" w:type="dxa"/>
            <w:shd w:val="clear" w:color="auto" w:fill="auto"/>
            <w:vAlign w:val="center"/>
          </w:tcPr>
          <w:p w:rsidR="00B446D0" w:rsidRPr="0022374B" w:rsidRDefault="00B446D0" w:rsidP="0022374B">
            <w:pPr>
              <w:spacing w:before="120"/>
              <w:jc w:val="both"/>
              <w:rPr>
                <w:rFonts w:ascii="Times New Roman" w:hAnsi="Times New Roman"/>
                <w:bCs/>
                <w:sz w:val="22"/>
                <w:szCs w:val="22"/>
              </w:rPr>
            </w:pPr>
            <w:r w:rsidRPr="0022374B">
              <w:rPr>
                <w:rFonts w:ascii="Times New Roman" w:hAnsi="Times New Roman"/>
                <w:bCs/>
                <w:sz w:val="22"/>
                <w:szCs w:val="22"/>
              </w:rPr>
              <w:t>41,2</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bCs/>
                <w:sz w:val="22"/>
                <w:szCs w:val="22"/>
              </w:rPr>
            </w:pPr>
            <w:r w:rsidRPr="0022374B">
              <w:rPr>
                <w:rFonts w:ascii="Times New Roman" w:hAnsi="Times New Roman"/>
                <w:bCs/>
                <w:sz w:val="22"/>
                <w:szCs w:val="22"/>
              </w:rPr>
              <w:t>11082</w:t>
            </w:r>
          </w:p>
        </w:tc>
      </w:tr>
      <w:tr w:rsidR="00B446D0" w:rsidRPr="0022374B" w:rsidTr="00CD18E4">
        <w:trPr>
          <w:trHeight w:val="166"/>
          <w:jc w:val="center"/>
        </w:trPr>
        <w:tc>
          <w:tcPr>
            <w:tcW w:w="8654" w:type="dxa"/>
            <w:gridSpan w:val="13"/>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b/>
                <w:bCs/>
                <w:sz w:val="22"/>
                <w:szCs w:val="22"/>
              </w:rPr>
              <w:t>Département</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Alibori</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(46,9)</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39,8</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16</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36,8</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38,7</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54</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46,6</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51,7</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830</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Atacora</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(31,4)</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29,6</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17</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36,3</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32,5</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51</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43,7</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39,3</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844</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Atlantique</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(26,6)</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16,5</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07</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18,7</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21,0</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43</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28,4</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35,4</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1 633</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lastRenderedPageBreak/>
              <w:t>Borgou</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22,1</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30,5</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33</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22,8</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45,0</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109</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34,4</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47,2</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1 257</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Collines</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(25,2)</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31,0</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09</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25,3</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28,8</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31</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32,6</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46,0</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762</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Couffo</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(31,0)</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24,3</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09</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30,8</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37,8</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54</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30,0</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56,7</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973</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Donga</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26,7</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19,9</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08</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25,6</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37,0</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40</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37,1</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47,4</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610</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Littoral</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(40,5)</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13,0</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02</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24,8</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13,3</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11</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26,0</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20,8</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746</w:t>
            </w:r>
          </w:p>
        </w:tc>
      </w:tr>
      <w:tr w:rsidR="00B446D0" w:rsidRPr="0022374B" w:rsidTr="00CD18E4">
        <w:trPr>
          <w:trHeight w:val="166"/>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Mono</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(11,6)</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0,0</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00</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19,9</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25,4</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25</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24,5</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38,1</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639</w:t>
            </w:r>
          </w:p>
        </w:tc>
      </w:tr>
      <w:tr w:rsidR="00B446D0" w:rsidRPr="0022374B" w:rsidTr="00CD18E4">
        <w:trPr>
          <w:trHeight w:val="405"/>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Ouémé</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23,2</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09</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17,2</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13,9</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28</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22,7</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32,2</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1 247</w:t>
            </w:r>
          </w:p>
        </w:tc>
      </w:tr>
      <w:tr w:rsidR="00B446D0" w:rsidRPr="0022374B" w:rsidTr="00CD18E4">
        <w:trPr>
          <w:trHeight w:val="423"/>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Plateau</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(11,0)</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14,1</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04</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24,3</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31,6</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31</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32,5</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42,3</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660</w:t>
            </w:r>
          </w:p>
        </w:tc>
      </w:tr>
      <w:tr w:rsidR="00B446D0" w:rsidRPr="0022374B" w:rsidTr="00CD18E4">
        <w:trPr>
          <w:trHeight w:val="423"/>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Zou</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(30,7)</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28,4</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09</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27,3</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34,3</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47</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32,2</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41,2</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881</w:t>
            </w:r>
          </w:p>
        </w:tc>
      </w:tr>
      <w:tr w:rsidR="00B446D0" w:rsidRPr="0022374B" w:rsidTr="00CD18E4">
        <w:trPr>
          <w:trHeight w:val="423"/>
          <w:jc w:val="center"/>
        </w:trPr>
        <w:tc>
          <w:tcPr>
            <w:tcW w:w="8654" w:type="dxa"/>
            <w:gridSpan w:val="13"/>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b/>
                <w:bCs/>
                <w:sz w:val="22"/>
                <w:szCs w:val="22"/>
              </w:rPr>
              <w:t>Milieu de résidence</w:t>
            </w:r>
          </w:p>
        </w:tc>
      </w:tr>
      <w:tr w:rsidR="00B446D0" w:rsidRPr="0022374B" w:rsidTr="00CD18E4">
        <w:trPr>
          <w:trHeight w:val="423"/>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Urbain</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24,8</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19,5</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32</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26,4</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24,9</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185</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30,2</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34,9</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4 997</w:t>
            </w:r>
          </w:p>
        </w:tc>
      </w:tr>
      <w:tr w:rsidR="00B446D0" w:rsidRPr="0022374B" w:rsidTr="00CD18E4">
        <w:trPr>
          <w:trHeight w:val="423"/>
          <w:jc w:val="center"/>
        </w:trPr>
        <w:tc>
          <w:tcPr>
            <w:tcW w:w="1087"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Rural</w:t>
            </w:r>
          </w:p>
        </w:tc>
        <w:tc>
          <w:tcPr>
            <w:tcW w:w="703"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26,3</w:t>
            </w:r>
          </w:p>
        </w:tc>
        <w:tc>
          <w:tcPr>
            <w:tcW w:w="1299" w:type="dxa"/>
            <w:gridSpan w:val="2"/>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27,7</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92</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24,6</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34,6</w:t>
            </w:r>
          </w:p>
        </w:tc>
        <w:tc>
          <w:tcPr>
            <w:tcW w:w="615"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340</w:t>
            </w:r>
          </w:p>
        </w:tc>
        <w:tc>
          <w:tcPr>
            <w:tcW w:w="562" w:type="dxa"/>
            <w:shd w:val="clear" w:color="auto" w:fill="auto"/>
            <w:vAlign w:val="center"/>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33,6</w:t>
            </w:r>
          </w:p>
        </w:tc>
        <w:tc>
          <w:tcPr>
            <w:tcW w:w="129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46,4</w:t>
            </w:r>
          </w:p>
        </w:tc>
        <w:tc>
          <w:tcPr>
            <w:tcW w:w="721"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6 084</w:t>
            </w:r>
          </w:p>
        </w:tc>
      </w:tr>
      <w:tr w:rsidR="00B446D0" w:rsidRPr="0022374B" w:rsidTr="00CD18E4">
        <w:trPr>
          <w:trHeight w:val="550"/>
          <w:jc w:val="center"/>
        </w:trPr>
        <w:tc>
          <w:tcPr>
            <w:tcW w:w="8654" w:type="dxa"/>
            <w:gridSpan w:val="13"/>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b/>
                <w:bCs/>
                <w:sz w:val="22"/>
                <w:szCs w:val="22"/>
              </w:rPr>
              <w:t>Instruction de la femme</w:t>
            </w:r>
          </w:p>
        </w:tc>
      </w:tr>
      <w:tr w:rsidR="00B446D0" w:rsidRPr="0022374B" w:rsidTr="00CD18E4">
        <w:trPr>
          <w:trHeight w:val="423"/>
          <w:jc w:val="center"/>
        </w:trPr>
        <w:tc>
          <w:tcPr>
            <w:tcW w:w="1288"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Aucune</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30,3</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28,1</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74</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26,6</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36,5</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333</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35,4</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47,2</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7 200</w:t>
            </w:r>
          </w:p>
        </w:tc>
      </w:tr>
      <w:tr w:rsidR="00B446D0" w:rsidRPr="0022374B" w:rsidTr="00CD18E4">
        <w:trPr>
          <w:trHeight w:val="423"/>
          <w:jc w:val="center"/>
        </w:trPr>
        <w:tc>
          <w:tcPr>
            <w:tcW w:w="1288"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Primaire</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19,2</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19,5</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24,0</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26,3</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115</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26,6</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34,6</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2 359</w:t>
            </w:r>
          </w:p>
        </w:tc>
      </w:tr>
      <w:tr w:rsidR="00B446D0" w:rsidRPr="0022374B" w:rsidTr="00CD18E4">
        <w:trPr>
          <w:trHeight w:val="423"/>
          <w:jc w:val="center"/>
        </w:trPr>
        <w:tc>
          <w:tcPr>
            <w:tcW w:w="1288"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Secondaire 1</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0,0</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23,5</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22</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24,8</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23,2</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68</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25,1</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27,6</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1 036</w:t>
            </w:r>
          </w:p>
        </w:tc>
      </w:tr>
      <w:tr w:rsidR="00B446D0" w:rsidRPr="0022374B" w:rsidTr="00CD18E4">
        <w:trPr>
          <w:trHeight w:val="713"/>
          <w:jc w:val="center"/>
        </w:trPr>
        <w:tc>
          <w:tcPr>
            <w:tcW w:w="1288"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Secondaire 2 ou +</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31,5</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03</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20,6</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9,8</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08</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23,4</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13,3</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486</w:t>
            </w:r>
          </w:p>
        </w:tc>
      </w:tr>
      <w:tr w:rsidR="00B446D0" w:rsidRPr="0022374B" w:rsidTr="00CD18E4">
        <w:trPr>
          <w:trHeight w:val="405"/>
          <w:jc w:val="center"/>
        </w:trPr>
        <w:tc>
          <w:tcPr>
            <w:tcW w:w="8654" w:type="dxa"/>
            <w:gridSpan w:val="13"/>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b/>
                <w:bCs/>
                <w:sz w:val="22"/>
                <w:szCs w:val="22"/>
              </w:rPr>
              <w:t>Indice de bien-être économique</w:t>
            </w:r>
          </w:p>
        </w:tc>
      </w:tr>
      <w:tr w:rsidR="00B446D0" w:rsidRPr="0022374B" w:rsidTr="00CD18E4">
        <w:trPr>
          <w:trHeight w:val="713"/>
          <w:jc w:val="center"/>
        </w:trPr>
        <w:tc>
          <w:tcPr>
            <w:tcW w:w="1288" w:type="dxa"/>
            <w:gridSpan w:val="2"/>
            <w:shd w:val="clear" w:color="auto" w:fill="auto"/>
            <w:vAlign w:val="center"/>
          </w:tcPr>
          <w:p w:rsidR="00B446D0" w:rsidRPr="0022374B" w:rsidRDefault="00B446D0" w:rsidP="0022374B">
            <w:pPr>
              <w:widowControl w:val="0"/>
              <w:spacing w:before="120"/>
              <w:ind w:leftChars="-15" w:left="-1" w:hangingChars="13" w:hanging="29"/>
              <w:jc w:val="both"/>
              <w:rPr>
                <w:rFonts w:ascii="Times New Roman" w:hAnsi="Times New Roman"/>
                <w:sz w:val="22"/>
                <w:szCs w:val="22"/>
              </w:rPr>
            </w:pPr>
            <w:r w:rsidRPr="0022374B">
              <w:rPr>
                <w:rFonts w:ascii="Times New Roman" w:hAnsi="Times New Roman"/>
                <w:sz w:val="22"/>
                <w:szCs w:val="22"/>
              </w:rPr>
              <w:t>Le plus pauvre</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24,8</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36,2</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44</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31,5</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36,5</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115</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38,3</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46,6</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2 156</w:t>
            </w:r>
          </w:p>
        </w:tc>
      </w:tr>
      <w:tr w:rsidR="00B446D0" w:rsidRPr="0022374B" w:rsidTr="00CD18E4">
        <w:trPr>
          <w:trHeight w:val="405"/>
          <w:jc w:val="center"/>
        </w:trPr>
        <w:tc>
          <w:tcPr>
            <w:tcW w:w="1288" w:type="dxa"/>
            <w:gridSpan w:val="2"/>
            <w:shd w:val="clear" w:color="auto" w:fill="auto"/>
            <w:vAlign w:val="center"/>
          </w:tcPr>
          <w:p w:rsidR="00B446D0" w:rsidRPr="0022374B" w:rsidRDefault="00B446D0" w:rsidP="0022374B">
            <w:pPr>
              <w:widowControl w:val="0"/>
              <w:spacing w:before="120"/>
              <w:ind w:leftChars="-15" w:left="-1" w:hangingChars="13" w:hanging="29"/>
              <w:jc w:val="both"/>
              <w:rPr>
                <w:rFonts w:ascii="Times New Roman" w:hAnsi="Times New Roman"/>
                <w:sz w:val="22"/>
                <w:szCs w:val="22"/>
              </w:rPr>
            </w:pPr>
            <w:r w:rsidRPr="0022374B">
              <w:rPr>
                <w:rFonts w:ascii="Times New Roman" w:hAnsi="Times New Roman"/>
                <w:sz w:val="22"/>
                <w:szCs w:val="22"/>
              </w:rPr>
              <w:t>Second</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25,6</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17,2</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21</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24,2</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32,9</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121</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32,8</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43,3</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2 149</w:t>
            </w:r>
          </w:p>
        </w:tc>
      </w:tr>
      <w:tr w:rsidR="00B446D0" w:rsidRPr="0022374B" w:rsidTr="00CD18E4">
        <w:trPr>
          <w:trHeight w:val="405"/>
          <w:jc w:val="center"/>
        </w:trPr>
        <w:tc>
          <w:tcPr>
            <w:tcW w:w="1288" w:type="dxa"/>
            <w:gridSpan w:val="2"/>
            <w:shd w:val="clear" w:color="auto" w:fill="auto"/>
            <w:vAlign w:val="center"/>
          </w:tcPr>
          <w:p w:rsidR="00B446D0" w:rsidRPr="0022374B" w:rsidRDefault="00B446D0" w:rsidP="0022374B">
            <w:pPr>
              <w:widowControl w:val="0"/>
              <w:spacing w:before="120"/>
              <w:ind w:leftChars="-15" w:left="-1" w:hangingChars="13" w:hanging="29"/>
              <w:jc w:val="both"/>
              <w:rPr>
                <w:rFonts w:ascii="Times New Roman" w:hAnsi="Times New Roman"/>
                <w:sz w:val="22"/>
                <w:szCs w:val="22"/>
              </w:rPr>
            </w:pPr>
            <w:r w:rsidRPr="0022374B">
              <w:rPr>
                <w:rFonts w:ascii="Times New Roman" w:hAnsi="Times New Roman"/>
                <w:sz w:val="22"/>
                <w:szCs w:val="22"/>
              </w:rPr>
              <w:t>Moyen</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26,6</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24,7</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28</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23,5</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34,9</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131</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32,1</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47,1</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2 289</w:t>
            </w:r>
          </w:p>
        </w:tc>
      </w:tr>
      <w:tr w:rsidR="00B446D0" w:rsidRPr="0022374B" w:rsidTr="00CD18E4">
        <w:trPr>
          <w:trHeight w:val="405"/>
          <w:jc w:val="center"/>
        </w:trPr>
        <w:tc>
          <w:tcPr>
            <w:tcW w:w="1288" w:type="dxa"/>
            <w:gridSpan w:val="2"/>
            <w:shd w:val="clear" w:color="auto" w:fill="auto"/>
            <w:vAlign w:val="center"/>
          </w:tcPr>
          <w:p w:rsidR="00B446D0" w:rsidRPr="0022374B" w:rsidRDefault="00B446D0" w:rsidP="0022374B">
            <w:pPr>
              <w:widowControl w:val="0"/>
              <w:spacing w:before="120"/>
              <w:ind w:leftChars="-15" w:left="-1" w:hangingChars="13" w:hanging="29"/>
              <w:jc w:val="both"/>
              <w:rPr>
                <w:rFonts w:ascii="Times New Roman" w:hAnsi="Times New Roman"/>
                <w:sz w:val="22"/>
                <w:szCs w:val="22"/>
              </w:rPr>
            </w:pPr>
            <w:r w:rsidRPr="0022374B">
              <w:rPr>
                <w:rFonts w:ascii="Times New Roman" w:hAnsi="Times New Roman"/>
                <w:sz w:val="22"/>
                <w:szCs w:val="22"/>
              </w:rPr>
              <w:t>Quatrième</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20,4</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26,2</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24</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21,8</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26,8</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99</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29,6</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41,5</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2 249</w:t>
            </w:r>
          </w:p>
        </w:tc>
      </w:tr>
      <w:tr w:rsidR="00B446D0" w:rsidRPr="0022374B" w:rsidTr="00CD18E4">
        <w:trPr>
          <w:trHeight w:val="443"/>
          <w:jc w:val="center"/>
        </w:trPr>
        <w:tc>
          <w:tcPr>
            <w:tcW w:w="1288" w:type="dxa"/>
            <w:gridSpan w:val="2"/>
            <w:shd w:val="clear" w:color="auto" w:fill="auto"/>
            <w:vAlign w:val="center"/>
          </w:tcPr>
          <w:p w:rsidR="00B446D0" w:rsidRPr="0022374B" w:rsidRDefault="00B446D0" w:rsidP="0022374B">
            <w:pPr>
              <w:widowControl w:val="0"/>
              <w:spacing w:before="120"/>
              <w:ind w:leftChars="-15" w:left="-1" w:hangingChars="13" w:hanging="29"/>
              <w:jc w:val="both"/>
              <w:rPr>
                <w:rFonts w:ascii="Times New Roman" w:hAnsi="Times New Roman"/>
                <w:sz w:val="22"/>
                <w:szCs w:val="22"/>
              </w:rPr>
            </w:pPr>
            <w:r w:rsidRPr="0022374B">
              <w:rPr>
                <w:rFonts w:ascii="Times New Roman" w:hAnsi="Times New Roman"/>
                <w:sz w:val="22"/>
                <w:szCs w:val="22"/>
              </w:rPr>
              <w:lastRenderedPageBreak/>
              <w:t>Le plus riche</w:t>
            </w:r>
          </w:p>
        </w:tc>
        <w:tc>
          <w:tcPr>
            <w:tcW w:w="635"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37,4</w:t>
            </w:r>
          </w:p>
        </w:tc>
        <w:tc>
          <w:tcPr>
            <w:tcW w:w="1165"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15,4</w:t>
            </w:r>
          </w:p>
        </w:tc>
        <w:tc>
          <w:tcPr>
            <w:tcW w:w="509"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07</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27,2</w:t>
            </w:r>
          </w:p>
        </w:tc>
        <w:tc>
          <w:tcPr>
            <w:tcW w:w="1299" w:type="dxa"/>
            <w:shd w:val="clear" w:color="auto" w:fill="auto"/>
            <w:vAlign w:val="center"/>
          </w:tcPr>
          <w:p w:rsidR="00B446D0" w:rsidRPr="0022374B" w:rsidRDefault="00B446D0" w:rsidP="0022374B">
            <w:pPr>
              <w:spacing w:before="120"/>
              <w:jc w:val="both"/>
              <w:rPr>
                <w:rFonts w:ascii="Times New Roman" w:hAnsi="Times New Roman"/>
                <w:color w:val="000000"/>
                <w:sz w:val="22"/>
                <w:szCs w:val="22"/>
              </w:rPr>
            </w:pPr>
            <w:r w:rsidRPr="0022374B">
              <w:rPr>
                <w:rFonts w:ascii="Times New Roman" w:hAnsi="Times New Roman"/>
                <w:color w:val="000000"/>
                <w:sz w:val="22"/>
                <w:szCs w:val="22"/>
              </w:rPr>
              <w:t>19,6</w:t>
            </w:r>
          </w:p>
        </w:tc>
        <w:tc>
          <w:tcPr>
            <w:tcW w:w="615"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57</w:t>
            </w:r>
          </w:p>
        </w:tc>
        <w:tc>
          <w:tcPr>
            <w:tcW w:w="562"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27,7</w:t>
            </w:r>
          </w:p>
        </w:tc>
        <w:tc>
          <w:tcPr>
            <w:tcW w:w="1314" w:type="dxa"/>
            <w:gridSpan w:val="2"/>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27,7</w:t>
            </w:r>
          </w:p>
        </w:tc>
        <w:tc>
          <w:tcPr>
            <w:tcW w:w="706" w:type="dxa"/>
            <w:shd w:val="clear" w:color="auto" w:fill="auto"/>
            <w:vAlign w:val="center"/>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2 238</w:t>
            </w:r>
          </w:p>
        </w:tc>
      </w:tr>
    </w:tbl>
    <w:p w:rsidR="00B446D0" w:rsidRPr="0022374B" w:rsidRDefault="00B446D0" w:rsidP="0022374B">
      <w:pPr>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Ensemble des femmes </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bCs/>
          <w:sz w:val="24"/>
          <w:szCs w:val="24"/>
        </w:rPr>
        <w:t>Dans l’ensemble de l’échantillon les écarts d’âge marqués entre conjoints(plus de 10 ans) entre conjoints sont plus fréquents (près de quatre hommes sur dix) dans les deux départements isolés (Alibori et Attacora) contre trois sur dix dans les autres départements. Ces différences relativement peu marquées selon les départements se reflètent dans les écarts relativement faibles entre milieu rural et milieu urbain (33,6 contre 30,2 %).</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bCs/>
          <w:sz w:val="24"/>
          <w:szCs w:val="24"/>
        </w:rPr>
        <w:t xml:space="preserve">Le niveau d’instruction est la variable la plus discriminante : les femmes analphabètes, qui se marient probablement jeunes, le font avec des hommes nécessairement plus âgés comme on le verra dans l’analyse du mariage des hommes. Cependant l’explication réside dans l’autre caractéristique de la nuptialité, la polygamie. Puisque le pourcentage de femmes en union polygamique est beaucoup plus élevé parmi les femmes analphabètes, il en résulte mécaniquement un écart d’âge plus important avec le conjoint, puisque par exemple la femme analphabète a été épousée en second, troisième ou quatrième rang. </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bCs/>
          <w:sz w:val="24"/>
          <w:szCs w:val="24"/>
        </w:rPr>
        <w:t>Le même raisonnement vaut pour la variable indice de bien-être économique. En raison de la forte endogamie socio-économique, il est vraisemblable que les femmes qui, au moment de l’enquête, appartiennent aux ménages les plus pauvres, ont été élevées dans des familles pauvres et selon toute vraisemblance elles n’ont pas poursuivi leurs études. Elles se sont donc mariées jeunes.</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bCs/>
          <w:sz w:val="24"/>
          <w:szCs w:val="24"/>
        </w:rPr>
        <w:t>De surcroît, même si elles se sont mariées en union monogamique, la probabilité de se retrouver dans des ménages polygamiques augmente au fil des années, puisque leur mari a pu ensuite prendre une seconde une troisième épouse. Ainsi l’écart d’âge mesuré sur l’ensemble des femmes en union polygamique, qu’elles soient première, seconde ou troisième épouse est nécessairement plus élevée que pour des femmes en union monogamique.</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Adolescentes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Parmi les femmes de 15-19 ans actuellement mariées, cette proportion est d’un peu moins de trois sur dix (25,4%). Les effectifs trop faibles ne permettant de dégager les tendances selon le département de résidence. À défaut, la répartition entre le milieu urbain et milieu rural n’est pas significatif. Significative. L’effet du niveau d’instruction était prévisible : un écart d’âge élevé entre conjoints est beaucoup plus fréquent chez les femmes non instruites.</w:t>
      </w:r>
    </w:p>
    <w:p w:rsidR="00B446D0" w:rsidRPr="0022374B" w:rsidRDefault="00B446D0" w:rsidP="0022374B">
      <w:pPr>
        <w:widowControl w:val="0"/>
        <w:spacing w:before="120"/>
        <w:jc w:val="both"/>
        <w:rPr>
          <w:rFonts w:ascii="Times New Roman" w:hAnsi="Times New Roman"/>
          <w:b/>
          <w:bCs/>
          <w:sz w:val="24"/>
          <w:szCs w:val="24"/>
        </w:rPr>
      </w:pPr>
      <w:r w:rsidRPr="0022374B">
        <w:rPr>
          <w:rFonts w:ascii="Times New Roman" w:hAnsi="Times New Roman"/>
          <w:sz w:val="24"/>
          <w:szCs w:val="24"/>
        </w:rPr>
        <w:t xml:space="preserve">Cependant plusieurs résultats semblent anormaux. Pourquoi observe-t-on proportion élevée de femmes à écart d’âge élevé dans le quintile le plus riche, mais aucune relation linéaire en fonction des autres quintiles ? Si l’on admet qu’en milieu rural prédominent les femmes analphabètes, pourquoi n’observe-t-on pas de différence entre milieu rural et milieu urbain ?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Jeunes adultes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Chez les femmes mariées de 20-24 ans, les différences entre les départements sont </w:t>
      </w:r>
      <w:r w:rsidRPr="0022374B">
        <w:rPr>
          <w:rFonts w:ascii="Times New Roman" w:hAnsi="Times New Roman"/>
          <w:sz w:val="24"/>
          <w:szCs w:val="24"/>
        </w:rPr>
        <w:lastRenderedPageBreak/>
        <w:t xml:space="preserve">marquées : avec un maximum de 36,8 % (Alibori) et un minimum de 18,7 % (Ouémé) </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bCs/>
          <w:sz w:val="24"/>
          <w:szCs w:val="24"/>
        </w:rPr>
        <w:t>Comme on pouvait s’y attendre, dans le département de l’Atlantique c’est-à-dire la ville de Cotonou on trouve moins de femmes ayant un écart d’âge d’au moins dix ans avec leur mari (24,8 %), résultat cohérent avec la faible proportion de femmes en union polygamique (20,8 %). Un exemple opposé est fourni par l’Alibori, où au taux de 36,8 % est associée une proportion de51, 7 %de femmes en union polygamique.</w:t>
      </w:r>
    </w:p>
    <w:p w:rsidR="00B446D0" w:rsidRPr="0022374B" w:rsidRDefault="00B446D0" w:rsidP="0022374B">
      <w:pPr>
        <w:widowControl w:val="0"/>
        <w:spacing w:before="120"/>
        <w:jc w:val="both"/>
        <w:rPr>
          <w:rFonts w:ascii="Times New Roman" w:hAnsi="Times New Roman"/>
          <w:bCs/>
          <w:sz w:val="24"/>
          <w:szCs w:val="24"/>
        </w:rPr>
      </w:pPr>
      <w:r w:rsidRPr="0022374B">
        <w:rPr>
          <w:rFonts w:ascii="Times New Roman" w:hAnsi="Times New Roman"/>
          <w:bCs/>
          <w:sz w:val="24"/>
          <w:szCs w:val="24"/>
        </w:rPr>
        <w:t xml:space="preserve">L’écart d’âge élevé est encore plus fréquent dans le département du littoral (18,7 %) mais en revanche la proportion de femmes en union polygamique est beaucoup plus forte (34, 7 %). Même observation pou l’Ouémé </w:t>
      </w:r>
      <w:r w:rsidRPr="0022374B">
        <w:rPr>
          <w:rFonts w:ascii="Times New Roman" w:hAnsi="Times New Roman"/>
          <w:b/>
          <w:bCs/>
          <w:sz w:val="24"/>
          <w:szCs w:val="24"/>
        </w:rPr>
        <w:t>(</w:t>
      </w:r>
      <w:r w:rsidRPr="0022374B">
        <w:rPr>
          <w:rFonts w:ascii="Times New Roman" w:hAnsi="Times New Roman"/>
          <w:b/>
          <w:bCs/>
          <w:sz w:val="24"/>
          <w:szCs w:val="24"/>
          <w:highlight w:val="yellow"/>
        </w:rPr>
        <w:t>Voir Narcisse</w:t>
      </w:r>
      <w:r w:rsidRPr="0022374B">
        <w:rPr>
          <w:rFonts w:ascii="Times New Roman" w:hAnsi="Times New Roman"/>
          <w:bCs/>
          <w:sz w:val="24"/>
          <w:szCs w:val="24"/>
          <w:highlight w:val="yellow"/>
        </w:rPr>
        <w:t>).</w:t>
      </w:r>
      <w:r w:rsidRPr="0022374B">
        <w:rPr>
          <w:rFonts w:ascii="Times New Roman" w:hAnsi="Times New Roman"/>
          <w:bCs/>
          <w:sz w:val="24"/>
          <w:szCs w:val="24"/>
        </w:rPr>
        <w:t xml:space="preserve"> Seules des études qualitatives permettraient d’identifier les facteurs explicatifs de ces différences départementales.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spacing w:before="120"/>
        <w:jc w:val="both"/>
        <w:rPr>
          <w:rFonts w:ascii="Times New Roman" w:hAnsi="Times New Roman"/>
          <w:b/>
          <w:sz w:val="24"/>
          <w:szCs w:val="24"/>
        </w:rPr>
      </w:pPr>
      <w:r w:rsidRPr="0022374B">
        <w:rPr>
          <w:rFonts w:ascii="Times New Roman" w:hAnsi="Times New Roman"/>
          <w:b/>
          <w:sz w:val="24"/>
          <w:szCs w:val="24"/>
        </w:rPr>
        <w:t xml:space="preserve">5. SYNTHESE ET RECOMMANDATIONS PROGRAMMATIQUES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Au terme des analyses conduites sur le mariage des enfants et la polygamie, deux questions se posent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 Les adolescentes présentent-elles une spécificité par rapport aux jeunes adultes et à l’ensemble des femmes ? En d’autres termes ont-elles des comportements différents liés à leur classe d’âge et à cette phase très particulière du cycle de leur vie, étant entendu que ces comportements vont dans le sens d’une vulnérabilité plus forte, et qui se réduirait lors du passage à l’âge adulte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 Peut-on identifier, parmi les adolescentes et indépendamment des deux autres groupes, des profils de vulnérabilité d’ordre géographique, socioculturel, socio-économique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 Pour résumer les réponses à ces deux questions nous proposons les deux tableaux ci-dessous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sz w:val="24"/>
          <w:szCs w:val="24"/>
        </w:rPr>
        <w:t>Tableau de synthèse 1.Spécificité des adolescentes</w:t>
      </w: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sz w:val="24"/>
          <w:szCs w:val="24"/>
        </w:rPr>
        <w:t>par rapport aux Jeunes adultes et à l’Ensemble des femmes</w:t>
      </w:r>
    </w:p>
    <w:tbl>
      <w:tblPr>
        <w:tblStyle w:val="Grilledutableau"/>
        <w:tblW w:w="0" w:type="auto"/>
        <w:jc w:val="center"/>
        <w:tblLook w:val="04A0" w:firstRow="1" w:lastRow="0" w:firstColumn="1" w:lastColumn="0" w:noHBand="0" w:noVBand="1"/>
      </w:tblPr>
      <w:tblGrid>
        <w:gridCol w:w="2190"/>
        <w:gridCol w:w="2190"/>
        <w:gridCol w:w="2190"/>
        <w:gridCol w:w="2191"/>
      </w:tblGrid>
      <w:tr w:rsidR="00B446D0" w:rsidRPr="0022374B" w:rsidTr="00CD18E4">
        <w:trPr>
          <w:trHeight w:val="18"/>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Comportement et variables différentielles</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Facteur de vulnérabilité ou de réduction de risque</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Par rapport aux Jeunes adultes</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Par rapport à l’Ensemble des femmes</w:t>
            </w:r>
          </w:p>
        </w:tc>
      </w:tr>
      <w:tr w:rsidR="00B446D0" w:rsidRPr="0022374B" w:rsidTr="008870D4">
        <w:trPr>
          <w:trHeight w:val="7"/>
          <w:jc w:val="center"/>
        </w:trPr>
        <w:tc>
          <w:tcPr>
            <w:tcW w:w="8761" w:type="dxa"/>
            <w:gridSpan w:val="4"/>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Entrée en union précoce (Tableau CP.0)</w:t>
            </w:r>
          </w:p>
        </w:tc>
      </w:tr>
      <w:tr w:rsidR="00B446D0" w:rsidRPr="0022374B" w:rsidTr="00CD18E4">
        <w:trPr>
          <w:trHeight w:val="23"/>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Entrée en union précoce </w:t>
            </w:r>
          </w:p>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(Tableau CP.0)</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Recul de la précocité</w:t>
            </w:r>
          </w:p>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(réduction de risque)</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Recul de la précocité</w:t>
            </w:r>
          </w:p>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(réduction de risque)</w:t>
            </w:r>
          </w:p>
          <w:p w:rsidR="00B446D0" w:rsidRPr="0022374B" w:rsidRDefault="00B446D0" w:rsidP="0022374B">
            <w:pPr>
              <w:widowControl w:val="0"/>
              <w:spacing w:before="120"/>
              <w:jc w:val="both"/>
              <w:rPr>
                <w:rFonts w:ascii="Times New Roman" w:hAnsi="Times New Roman"/>
                <w:sz w:val="22"/>
                <w:szCs w:val="22"/>
              </w:rPr>
            </w:pP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Précocité plus grande que chez les adolescentes et lesjeunes adultes</w:t>
            </w:r>
          </w:p>
        </w:tc>
      </w:tr>
      <w:tr w:rsidR="00B446D0" w:rsidRPr="0022374B" w:rsidTr="008870D4">
        <w:trPr>
          <w:trHeight w:val="7"/>
          <w:jc w:val="center"/>
        </w:trPr>
        <w:tc>
          <w:tcPr>
            <w:tcW w:w="8761" w:type="dxa"/>
            <w:gridSpan w:val="4"/>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Entrée en union précoce Mariage avant 15 ans (Tableau CP.7)</w:t>
            </w:r>
          </w:p>
        </w:tc>
      </w:tr>
      <w:tr w:rsidR="00B446D0" w:rsidRPr="0022374B" w:rsidTr="00CD18E4">
        <w:trPr>
          <w:trHeight w:val="13"/>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Département de résidence</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Borgou</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Alibori</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Alibori, Borgou, Atacora</w:t>
            </w:r>
          </w:p>
        </w:tc>
      </w:tr>
      <w:tr w:rsidR="00B446D0" w:rsidRPr="0022374B" w:rsidTr="00CD18E4">
        <w:trPr>
          <w:trHeight w:val="7"/>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Milieu de résidence </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Rural</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Rural</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Rural</w:t>
            </w:r>
          </w:p>
        </w:tc>
      </w:tr>
      <w:tr w:rsidR="00B446D0" w:rsidRPr="0022374B" w:rsidTr="00CD18E4">
        <w:trPr>
          <w:trHeight w:val="13"/>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Dimension </w:t>
            </w:r>
            <w:r w:rsidRPr="0022374B">
              <w:rPr>
                <w:rFonts w:ascii="Times New Roman" w:hAnsi="Times New Roman"/>
                <w:sz w:val="22"/>
                <w:szCs w:val="22"/>
              </w:rPr>
              <w:lastRenderedPageBreak/>
              <w:t xml:space="preserve">socioculturelle </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lastRenderedPageBreak/>
              <w:t>Analphabétisme</w:t>
            </w:r>
          </w:p>
        </w:tc>
        <w:tc>
          <w:tcPr>
            <w:tcW w:w="2190"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Analphabétisme</w:t>
            </w:r>
          </w:p>
        </w:tc>
        <w:tc>
          <w:tcPr>
            <w:tcW w:w="219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Analphabétisme</w:t>
            </w:r>
          </w:p>
        </w:tc>
      </w:tr>
      <w:tr w:rsidR="00B446D0" w:rsidRPr="0022374B" w:rsidTr="00CD18E4">
        <w:trPr>
          <w:trHeight w:val="13"/>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Dimension socioéconomique </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30 % les plus pauvres</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20 % les plus pauvres</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 les plus pauvres</w:t>
            </w:r>
          </w:p>
        </w:tc>
      </w:tr>
      <w:tr w:rsidR="00B446D0" w:rsidRPr="0022374B" w:rsidTr="008870D4">
        <w:trPr>
          <w:trHeight w:val="7"/>
          <w:jc w:val="center"/>
        </w:trPr>
        <w:tc>
          <w:tcPr>
            <w:tcW w:w="8761" w:type="dxa"/>
            <w:gridSpan w:val="4"/>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Ecart d’âge (Tableau CP.9)</w:t>
            </w:r>
          </w:p>
        </w:tc>
      </w:tr>
      <w:tr w:rsidR="00B446D0" w:rsidRPr="0022374B" w:rsidTr="00CD18E4">
        <w:trPr>
          <w:trHeight w:val="7"/>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Département de résidence</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Données non disponibles</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Alibori, Borgou, Couffo</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Alibori, Borgou, Donga</w:t>
            </w:r>
          </w:p>
        </w:tc>
      </w:tr>
      <w:tr w:rsidR="00B446D0" w:rsidRPr="0022374B" w:rsidTr="00CD18E4">
        <w:trPr>
          <w:trHeight w:val="7"/>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Milieu de résidence </w:t>
            </w:r>
          </w:p>
        </w:tc>
        <w:tc>
          <w:tcPr>
            <w:tcW w:w="2190"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Pas d’effet</w:t>
            </w:r>
          </w:p>
        </w:tc>
        <w:tc>
          <w:tcPr>
            <w:tcW w:w="2190"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Pas d’effet</w:t>
            </w:r>
          </w:p>
        </w:tc>
        <w:tc>
          <w:tcPr>
            <w:tcW w:w="219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Pas d’effet</w:t>
            </w:r>
          </w:p>
        </w:tc>
      </w:tr>
      <w:tr w:rsidR="00B446D0" w:rsidRPr="0022374B" w:rsidTr="00CD18E4">
        <w:trPr>
          <w:trHeight w:val="13"/>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Dimension socioculturelle </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Analphabétisme</w:t>
            </w:r>
          </w:p>
        </w:tc>
        <w:tc>
          <w:tcPr>
            <w:tcW w:w="2190"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Pas d’effet</w:t>
            </w:r>
          </w:p>
        </w:tc>
        <w:tc>
          <w:tcPr>
            <w:tcW w:w="219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Analphabétisme</w:t>
            </w:r>
          </w:p>
        </w:tc>
      </w:tr>
      <w:tr w:rsidR="00B446D0" w:rsidRPr="0022374B" w:rsidTr="00CD18E4">
        <w:trPr>
          <w:trHeight w:val="12"/>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Dimension socioéconomique </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Pas d’effet</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10 % les plus pauvres</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10 % les plus pauvres</w:t>
            </w:r>
          </w:p>
        </w:tc>
      </w:tr>
      <w:tr w:rsidR="00B446D0" w:rsidRPr="0022374B" w:rsidTr="008870D4">
        <w:trPr>
          <w:trHeight w:val="7"/>
          <w:jc w:val="center"/>
        </w:trPr>
        <w:tc>
          <w:tcPr>
            <w:tcW w:w="8761" w:type="dxa"/>
            <w:gridSpan w:val="4"/>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Polygamie (Tableau CP.9)</w:t>
            </w:r>
          </w:p>
        </w:tc>
      </w:tr>
      <w:tr w:rsidR="00B446D0" w:rsidRPr="0022374B" w:rsidTr="00CD18E4">
        <w:trPr>
          <w:trHeight w:val="12"/>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Département de résidence</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Données non disponibles</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Analphabétisme</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Analphabétisme</w:t>
            </w:r>
          </w:p>
        </w:tc>
      </w:tr>
      <w:tr w:rsidR="00B446D0" w:rsidRPr="0022374B" w:rsidTr="00CD18E4">
        <w:trPr>
          <w:trHeight w:val="7"/>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Milieu de résidence </w:t>
            </w:r>
          </w:p>
        </w:tc>
        <w:tc>
          <w:tcPr>
            <w:tcW w:w="2190"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Rural</w:t>
            </w:r>
          </w:p>
        </w:tc>
        <w:tc>
          <w:tcPr>
            <w:tcW w:w="2190"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Rural</w:t>
            </w:r>
          </w:p>
        </w:tc>
        <w:tc>
          <w:tcPr>
            <w:tcW w:w="2191"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Rural</w:t>
            </w:r>
          </w:p>
        </w:tc>
      </w:tr>
      <w:tr w:rsidR="00B446D0" w:rsidRPr="0022374B" w:rsidTr="00CD18E4">
        <w:trPr>
          <w:trHeight w:val="12"/>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Dimension socioculturelle</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Analphabétisme</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Analphabétisme</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Analphabétisme</w:t>
            </w:r>
          </w:p>
        </w:tc>
      </w:tr>
      <w:tr w:rsidR="00B446D0" w:rsidRPr="0022374B" w:rsidTr="00CD18E4">
        <w:trPr>
          <w:trHeight w:val="13"/>
          <w:jc w:val="center"/>
        </w:trPr>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Dimension socioéconomique </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10 % les plus pauvres</w:t>
            </w:r>
          </w:p>
        </w:tc>
        <w:tc>
          <w:tcPr>
            <w:tcW w:w="2190"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10 % les plus pauvres</w:t>
            </w:r>
          </w:p>
        </w:tc>
        <w:tc>
          <w:tcPr>
            <w:tcW w:w="2191"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10 % les plus pauvres</w:t>
            </w:r>
          </w:p>
        </w:tc>
      </w:tr>
    </w:tbl>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Il résulte du tableau de synthèse 1 ci-dessus que les adolescentes ne se distinguent pas fondamentalement ni des jeunes adultes ni de l’ensemble des femmes. La seule différence majeure est le recul des entrées en union précoces chez les adolescentes et les jeunes adultes par rapport aux autres cohortes de femmes plus âgées.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Le deuxième enseignement majeur de l’enquête est que l’on retrouve des écarts finalement comparables dans les trois groupes de femmes, lorsque l’on prend en compte les catégories d’analyse : département et milieu de résidence et milieu de résidence, le niveau d’instruction et de bien-être.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Ces deux constats conduisent à conclure que le groupe des adolescentes ne constitue pas une catégorie radicalement différente des autres femmes. Bien plus décisifs sont les différences de nature socio-économique et culturelle. Qu’une femme soit une adolescente, une jeune adulte ou une femme plus âgée, le fait d’être née dans certains départements, de vivre en milieu rural, d’être analphabète, d’appartenir un ménage de faible niveau économique se traduit toujours par une entrée en union plus précoce.</w:t>
      </w:r>
    </w:p>
    <w:p w:rsidR="008870D4" w:rsidRDefault="008870D4" w:rsidP="008870D4">
      <w:pPr>
        <w:widowControl w:val="0"/>
        <w:spacing w:before="120"/>
        <w:jc w:val="center"/>
        <w:rPr>
          <w:rFonts w:ascii="Times New Roman" w:hAnsi="Times New Roman"/>
          <w:b/>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sz w:val="24"/>
          <w:szCs w:val="24"/>
        </w:rPr>
        <w:t>Tableau de synthèse 2 : Profils de vulnérabilité des adolescentes</w:t>
      </w:r>
    </w:p>
    <w:p w:rsidR="00B446D0" w:rsidRPr="0022374B" w:rsidRDefault="00B446D0" w:rsidP="0022374B">
      <w:pPr>
        <w:widowControl w:val="0"/>
        <w:spacing w:before="120"/>
        <w:jc w:val="both"/>
        <w:rPr>
          <w:rFonts w:ascii="Times New Roman" w:hAnsi="Times New Roman"/>
          <w:b/>
          <w:sz w:val="24"/>
          <w:szCs w:val="24"/>
        </w:rPr>
      </w:pPr>
    </w:p>
    <w:tbl>
      <w:tblPr>
        <w:tblStyle w:val="Grilledutableau"/>
        <w:tblW w:w="0" w:type="auto"/>
        <w:tblLook w:val="04A0" w:firstRow="1" w:lastRow="0" w:firstColumn="1" w:lastColumn="0" w:noHBand="0" w:noVBand="1"/>
      </w:tblPr>
      <w:tblGrid>
        <w:gridCol w:w="1809"/>
        <w:gridCol w:w="1900"/>
        <w:gridCol w:w="1532"/>
        <w:gridCol w:w="1783"/>
        <w:gridCol w:w="1840"/>
      </w:tblGrid>
      <w:tr w:rsidR="00B446D0" w:rsidRPr="0022374B" w:rsidTr="00CD18E4">
        <w:tc>
          <w:tcPr>
            <w:tcW w:w="1863"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Comportement </w:t>
            </w:r>
          </w:p>
        </w:tc>
        <w:tc>
          <w:tcPr>
            <w:tcW w:w="200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Département de résidence</w:t>
            </w:r>
          </w:p>
        </w:tc>
        <w:tc>
          <w:tcPr>
            <w:tcW w:w="162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Milieu de résidence</w:t>
            </w:r>
          </w:p>
        </w:tc>
        <w:tc>
          <w:tcPr>
            <w:tcW w:w="1854"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Socio-culturel</w:t>
            </w:r>
          </w:p>
        </w:tc>
        <w:tc>
          <w:tcPr>
            <w:tcW w:w="1939"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Economique</w:t>
            </w:r>
          </w:p>
        </w:tc>
      </w:tr>
      <w:tr w:rsidR="00B446D0" w:rsidRPr="0022374B" w:rsidTr="00CD18E4">
        <w:tc>
          <w:tcPr>
            <w:tcW w:w="9288" w:type="dxa"/>
            <w:gridSpan w:val="5"/>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Forte vulnérabilité</w:t>
            </w:r>
          </w:p>
        </w:tc>
      </w:tr>
      <w:tr w:rsidR="00B446D0" w:rsidRPr="0022374B" w:rsidTr="00CD18E4">
        <w:tc>
          <w:tcPr>
            <w:tcW w:w="1863"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 xml:space="preserve">Entrée en union précoce </w:t>
            </w:r>
          </w:p>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lastRenderedPageBreak/>
              <w:t>(TableauCP.7)</w:t>
            </w:r>
          </w:p>
        </w:tc>
        <w:tc>
          <w:tcPr>
            <w:tcW w:w="200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lastRenderedPageBreak/>
              <w:t>Borgou</w:t>
            </w:r>
          </w:p>
        </w:tc>
        <w:tc>
          <w:tcPr>
            <w:tcW w:w="162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Rural</w:t>
            </w:r>
          </w:p>
        </w:tc>
        <w:tc>
          <w:tcPr>
            <w:tcW w:w="1854"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Analphabètes</w:t>
            </w:r>
          </w:p>
        </w:tc>
        <w:tc>
          <w:tcPr>
            <w:tcW w:w="1939"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 les plus pauvres</w:t>
            </w:r>
          </w:p>
        </w:tc>
      </w:tr>
      <w:tr w:rsidR="00B446D0" w:rsidRPr="0022374B" w:rsidTr="00CD18E4">
        <w:tc>
          <w:tcPr>
            <w:tcW w:w="1863"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Ecart d’âge (Tableau CP.9)</w:t>
            </w:r>
          </w:p>
        </w:tc>
        <w:tc>
          <w:tcPr>
            <w:tcW w:w="200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Données non disponibles</w:t>
            </w:r>
          </w:p>
        </w:tc>
        <w:tc>
          <w:tcPr>
            <w:tcW w:w="162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Pas d’effet</w:t>
            </w:r>
          </w:p>
        </w:tc>
        <w:tc>
          <w:tcPr>
            <w:tcW w:w="1854"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Analphabètes</w:t>
            </w:r>
          </w:p>
        </w:tc>
        <w:tc>
          <w:tcPr>
            <w:tcW w:w="1939"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Pas d’effet</w:t>
            </w:r>
          </w:p>
        </w:tc>
      </w:tr>
      <w:tr w:rsidR="00B446D0" w:rsidRPr="0022374B" w:rsidTr="00CD18E4">
        <w:tc>
          <w:tcPr>
            <w:tcW w:w="1863"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Polygamie (Tableau CP.9)</w:t>
            </w:r>
          </w:p>
        </w:tc>
        <w:tc>
          <w:tcPr>
            <w:tcW w:w="200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Alibori</w:t>
            </w:r>
          </w:p>
        </w:tc>
        <w:tc>
          <w:tcPr>
            <w:tcW w:w="162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Rural</w:t>
            </w:r>
          </w:p>
        </w:tc>
        <w:tc>
          <w:tcPr>
            <w:tcW w:w="1854"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Analphabètes</w:t>
            </w:r>
          </w:p>
        </w:tc>
        <w:tc>
          <w:tcPr>
            <w:tcW w:w="1939"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10 % les plus pauvres</w:t>
            </w:r>
          </w:p>
        </w:tc>
      </w:tr>
      <w:tr w:rsidR="00B446D0" w:rsidRPr="0022374B" w:rsidTr="00CD18E4">
        <w:tc>
          <w:tcPr>
            <w:tcW w:w="9288" w:type="dxa"/>
            <w:gridSpan w:val="5"/>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Faible vulnérabilité</w:t>
            </w:r>
          </w:p>
        </w:tc>
      </w:tr>
      <w:tr w:rsidR="00B446D0" w:rsidRPr="0022374B" w:rsidTr="00CD18E4">
        <w:tc>
          <w:tcPr>
            <w:tcW w:w="1863"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Entrée en union précoce</w:t>
            </w:r>
          </w:p>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(Tableau CP.7)</w:t>
            </w:r>
          </w:p>
        </w:tc>
        <w:tc>
          <w:tcPr>
            <w:tcW w:w="200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Littoral, Couffo Atlantique</w:t>
            </w:r>
          </w:p>
        </w:tc>
        <w:tc>
          <w:tcPr>
            <w:tcW w:w="162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Urbain</w:t>
            </w:r>
          </w:p>
        </w:tc>
        <w:tc>
          <w:tcPr>
            <w:tcW w:w="1854"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Secondaire</w:t>
            </w:r>
          </w:p>
        </w:tc>
        <w:tc>
          <w:tcPr>
            <w:tcW w:w="1939"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20% les plus riches</w:t>
            </w:r>
          </w:p>
        </w:tc>
      </w:tr>
      <w:tr w:rsidR="00B446D0" w:rsidRPr="0022374B" w:rsidTr="00CD18E4">
        <w:tc>
          <w:tcPr>
            <w:tcW w:w="1863"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Ecart d’âge (Tableau CP.9)</w:t>
            </w:r>
          </w:p>
        </w:tc>
        <w:tc>
          <w:tcPr>
            <w:tcW w:w="200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Données non disponibles</w:t>
            </w:r>
          </w:p>
        </w:tc>
        <w:tc>
          <w:tcPr>
            <w:tcW w:w="162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Pas d’effet</w:t>
            </w:r>
          </w:p>
        </w:tc>
        <w:tc>
          <w:tcPr>
            <w:tcW w:w="1854"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Secondaire</w:t>
            </w:r>
          </w:p>
        </w:tc>
        <w:tc>
          <w:tcPr>
            <w:tcW w:w="1939"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Pas d’effet</w:t>
            </w:r>
          </w:p>
        </w:tc>
      </w:tr>
      <w:tr w:rsidR="00B446D0" w:rsidRPr="0022374B" w:rsidTr="00CD18E4">
        <w:tc>
          <w:tcPr>
            <w:tcW w:w="1863"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Polygamie (Tableau CP.9)</w:t>
            </w:r>
          </w:p>
        </w:tc>
        <w:tc>
          <w:tcPr>
            <w:tcW w:w="200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Donga, Littoral Plateau</w:t>
            </w:r>
          </w:p>
        </w:tc>
        <w:tc>
          <w:tcPr>
            <w:tcW w:w="1626" w:type="dxa"/>
          </w:tcPr>
          <w:p w:rsidR="00B446D0" w:rsidRPr="0022374B" w:rsidRDefault="00B446D0" w:rsidP="0022374B">
            <w:pPr>
              <w:widowControl w:val="0"/>
              <w:spacing w:before="120"/>
              <w:jc w:val="both"/>
              <w:rPr>
                <w:rFonts w:ascii="Times New Roman" w:hAnsi="Times New Roman"/>
                <w:sz w:val="22"/>
                <w:szCs w:val="22"/>
              </w:rPr>
            </w:pPr>
            <w:r w:rsidRPr="0022374B">
              <w:rPr>
                <w:rFonts w:ascii="Times New Roman" w:hAnsi="Times New Roman"/>
                <w:sz w:val="22"/>
                <w:szCs w:val="22"/>
              </w:rPr>
              <w:t>Urbain</w:t>
            </w:r>
          </w:p>
        </w:tc>
        <w:tc>
          <w:tcPr>
            <w:tcW w:w="1854"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Analphabètes</w:t>
            </w:r>
          </w:p>
        </w:tc>
        <w:tc>
          <w:tcPr>
            <w:tcW w:w="1939" w:type="dxa"/>
          </w:tcPr>
          <w:p w:rsidR="00B446D0" w:rsidRPr="0022374B" w:rsidRDefault="00B446D0" w:rsidP="0022374B">
            <w:pPr>
              <w:spacing w:before="120"/>
              <w:jc w:val="both"/>
              <w:rPr>
                <w:rFonts w:ascii="Times New Roman" w:hAnsi="Times New Roman"/>
                <w:sz w:val="22"/>
                <w:szCs w:val="22"/>
              </w:rPr>
            </w:pPr>
            <w:r w:rsidRPr="0022374B">
              <w:rPr>
                <w:rFonts w:ascii="Times New Roman" w:hAnsi="Times New Roman"/>
                <w:sz w:val="22"/>
                <w:szCs w:val="22"/>
              </w:rPr>
              <w:t>10 % les plus riches</w:t>
            </w:r>
          </w:p>
        </w:tc>
      </w:tr>
    </w:tbl>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Deux profils de vulnérabilité s’opposent de manière presque symétrique du second Tableau de synthèse.</w:t>
      </w:r>
    </w:p>
    <w:p w:rsidR="00B446D0" w:rsidRPr="0022374B" w:rsidRDefault="00B446D0" w:rsidP="0022374B">
      <w:pPr>
        <w:pStyle w:val="Paragraphedeliste"/>
        <w:widowControl w:val="0"/>
        <w:numPr>
          <w:ilvl w:val="0"/>
          <w:numId w:val="42"/>
        </w:numPr>
        <w:spacing w:before="120" w:after="0" w:line="240" w:lineRule="auto"/>
        <w:jc w:val="both"/>
        <w:rPr>
          <w:rFonts w:ascii="Times New Roman" w:hAnsi="Times New Roman"/>
          <w:sz w:val="24"/>
          <w:szCs w:val="24"/>
        </w:rPr>
      </w:pPr>
      <w:r w:rsidRPr="0022374B">
        <w:rPr>
          <w:rFonts w:ascii="Times New Roman" w:hAnsi="Times New Roman"/>
          <w:sz w:val="24"/>
          <w:szCs w:val="24"/>
        </w:rPr>
        <w:t>Forte vulnérabilité chez les femmes des départements les plus isolés  (Borgou, Alibori) et de manière plus générale parmi les femmes vivant en milieu rural, les analphabètes et les plus pauvres.</w:t>
      </w:r>
    </w:p>
    <w:p w:rsidR="00B446D0" w:rsidRPr="0022374B" w:rsidRDefault="00B446D0" w:rsidP="0022374B">
      <w:pPr>
        <w:pStyle w:val="Paragraphedeliste"/>
        <w:widowControl w:val="0"/>
        <w:numPr>
          <w:ilvl w:val="0"/>
          <w:numId w:val="42"/>
        </w:numPr>
        <w:spacing w:before="120" w:after="0" w:line="240" w:lineRule="auto"/>
        <w:jc w:val="both"/>
        <w:rPr>
          <w:rFonts w:ascii="Times New Roman" w:hAnsi="Times New Roman"/>
          <w:sz w:val="24"/>
          <w:szCs w:val="24"/>
        </w:rPr>
      </w:pPr>
      <w:r w:rsidRPr="0022374B">
        <w:rPr>
          <w:rFonts w:ascii="Times New Roman" w:hAnsi="Times New Roman"/>
          <w:sz w:val="24"/>
          <w:szCs w:val="24"/>
        </w:rPr>
        <w:t>Au contraire, faible vulnérabilité parmi les femmes vivant dans les départements du Sud(Littoral, Couffo, Atlantique), et plus généralement en milieu urbain, et parmi les femmes instruites et celles favorisées sur le plan socio-économique.</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highlight w:val="yellow"/>
        </w:rPr>
        <w:t xml:space="preserve">RECOMMANDATIONS (NARCISSE et SOURAYA :compléter svp)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Si l’on admet qu’un âge au mariage précoce est un facteur de vulnérabilité, et sachant qu’environ 10 % des femmes se marient avant l’âge de quinze heures, la réduction de la proportion de femmes entrant en union avant cet âge devrait s’inscrire dans une stratégie multisectorielle comportant les volets suivants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1/ Renforcer la mise en œuvre de l’article du Code des personnes et de la famille qui fixe l’âge au mariage à dix-huit ans.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 Favoriser, dans la politique nationale de l’éducation, la prolongation de la scolarité des filles.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3/ Organiser des campagnes de sensibilisation au niveau du ministère de la Santé et des autres ministères sectoriels concernés, sur les risques encourus par les femmes qui du fait de leur mariage précoce se retrouvent avec des grossesses également précoces.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4/ Combiner les campagnes de sensibilisation nationales et des campagnes ciblées sur les zones géographiques où les femmes présentent les caractéristiques d’une forte vulnérabilité : dans les es départements les plus isolés ( Borgou, Alibori)et de manière plus générale parmi les femmes vivant en milieu rural.</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5/ Inscrire dans les programmes de lutte pour la réduction de la pauvreté des mesures de sensibilisation ciblée sur les femmes analphabètes et celle appartenant au milieu défavorisé.</w:t>
      </w:r>
    </w:p>
    <w:p w:rsidR="008870D4" w:rsidRDefault="008870D4">
      <w:pPr>
        <w:spacing w:after="200" w:line="276" w:lineRule="auto"/>
        <w:rPr>
          <w:rFonts w:ascii="Times New Roman" w:hAnsi="Times New Roman"/>
          <w:b/>
          <w:sz w:val="28"/>
          <w:szCs w:val="28"/>
        </w:rPr>
      </w:pPr>
      <w:r>
        <w:rPr>
          <w:rFonts w:ascii="Times New Roman" w:hAnsi="Times New Roman"/>
          <w:b/>
          <w:sz w:val="28"/>
          <w:szCs w:val="28"/>
        </w:rPr>
        <w:lastRenderedPageBreak/>
        <w:br w:type="page"/>
      </w:r>
    </w:p>
    <w:p w:rsidR="00B446D0" w:rsidRPr="0022374B" w:rsidRDefault="00B446D0" w:rsidP="0022374B">
      <w:pPr>
        <w:widowControl w:val="0"/>
        <w:spacing w:before="120"/>
        <w:jc w:val="both"/>
        <w:rPr>
          <w:rFonts w:ascii="Times New Roman" w:hAnsi="Times New Roman"/>
          <w:b/>
          <w:sz w:val="28"/>
          <w:szCs w:val="28"/>
        </w:rPr>
      </w:pPr>
      <w:r w:rsidRPr="0022374B">
        <w:rPr>
          <w:rFonts w:ascii="Times New Roman" w:hAnsi="Times New Roman"/>
          <w:b/>
          <w:sz w:val="28"/>
          <w:szCs w:val="28"/>
        </w:rPr>
        <w:lastRenderedPageBreak/>
        <w:t>THEME 2.2 GROSSESSES PRECOCES ET SOINS PRENATALS DES MERES ADOLESCENTES</w:t>
      </w:r>
    </w:p>
    <w:p w:rsidR="00B446D0" w:rsidRPr="0022374B" w:rsidRDefault="00B446D0" w:rsidP="0022374B">
      <w:pPr>
        <w:pStyle w:val="Corpsdetexte"/>
        <w:tabs>
          <w:tab w:val="left" w:pos="720"/>
        </w:tabs>
        <w:spacing w:before="120" w:after="0"/>
        <w:jc w:val="both"/>
        <w:rPr>
          <w:rFonts w:ascii="Times New Roman" w:hAnsi="Times New Roman"/>
          <w:b/>
          <w:sz w:val="24"/>
          <w:szCs w:val="24"/>
        </w:rPr>
      </w:pPr>
    </w:p>
    <w:p w:rsidR="00B446D0" w:rsidRPr="00940B84" w:rsidRDefault="00940B84" w:rsidP="00940B84">
      <w:pPr>
        <w:widowControl w:val="0"/>
        <w:pBdr>
          <w:top w:val="single" w:sz="4" w:space="1" w:color="auto"/>
          <w:left w:val="single" w:sz="4" w:space="4" w:color="auto"/>
          <w:bottom w:val="single" w:sz="4" w:space="1" w:color="auto"/>
          <w:right w:val="single" w:sz="4" w:space="4" w:color="auto"/>
        </w:pBdr>
        <w:spacing w:before="120"/>
        <w:ind w:left="360"/>
        <w:jc w:val="both"/>
        <w:rPr>
          <w:rFonts w:ascii="Times New Roman" w:hAnsi="Times New Roman"/>
          <w:b/>
          <w:sz w:val="24"/>
          <w:szCs w:val="24"/>
        </w:rPr>
      </w:pPr>
      <w:r w:rsidRPr="00940B84">
        <w:rPr>
          <w:rFonts w:ascii="Times New Roman" w:hAnsi="Times New Roman"/>
          <w:b/>
          <w:sz w:val="24"/>
          <w:szCs w:val="24"/>
        </w:rPr>
        <w:t>1</w:t>
      </w:r>
      <w:r>
        <w:rPr>
          <w:rFonts w:ascii="Times New Roman" w:hAnsi="Times New Roman"/>
          <w:b/>
          <w:sz w:val="24"/>
          <w:szCs w:val="24"/>
        </w:rPr>
        <w:t xml:space="preserve"> </w:t>
      </w:r>
      <w:r w:rsidRPr="00940B84">
        <w:rPr>
          <w:rFonts w:ascii="Times New Roman" w:hAnsi="Times New Roman"/>
          <w:b/>
          <w:sz w:val="24"/>
          <w:szCs w:val="24"/>
        </w:rPr>
        <w:t xml:space="preserve">. </w:t>
      </w:r>
      <w:r w:rsidR="00B446D0" w:rsidRPr="00940B84">
        <w:rPr>
          <w:rFonts w:ascii="Times New Roman" w:hAnsi="Times New Roman"/>
          <w:b/>
          <w:sz w:val="24"/>
          <w:szCs w:val="24"/>
        </w:rPr>
        <w:t xml:space="preserve">ENTREE DANS LA VIE FECONDE ET GROSSESSES PRECOCES </w:t>
      </w:r>
    </w:p>
    <w:p w:rsidR="00B446D0" w:rsidRPr="0022374B" w:rsidRDefault="00B446D0" w:rsidP="0022374B">
      <w:pPr>
        <w:widowControl w:val="0"/>
        <w:spacing w:before="120"/>
        <w:jc w:val="both"/>
        <w:rPr>
          <w:rStyle w:val="2H"/>
          <w:rFonts w:ascii="Times New Roman" w:hAnsi="Times New Roman"/>
          <w:b w:val="0"/>
          <w:bCs/>
          <w:iCs/>
          <w:szCs w:val="24"/>
        </w:rPr>
      </w:pPr>
    </w:p>
    <w:p w:rsidR="00B446D0" w:rsidRPr="0022374B" w:rsidRDefault="00B446D0" w:rsidP="0022374B">
      <w:pPr>
        <w:pStyle w:val="Paragraphedeliste"/>
        <w:widowControl w:val="0"/>
        <w:numPr>
          <w:ilvl w:val="1"/>
          <w:numId w:val="2"/>
        </w:numPr>
        <w:spacing w:before="120" w:after="0" w:line="240" w:lineRule="auto"/>
        <w:ind w:left="0" w:firstLine="0"/>
        <w:jc w:val="both"/>
        <w:rPr>
          <w:rFonts w:ascii="Times New Roman" w:hAnsi="Times New Roman"/>
          <w:b/>
          <w:sz w:val="24"/>
          <w:szCs w:val="24"/>
        </w:rPr>
      </w:pPr>
      <w:r w:rsidRPr="0022374B">
        <w:rPr>
          <w:rFonts w:ascii="Times New Roman" w:hAnsi="Times New Roman"/>
          <w:b/>
          <w:bCs/>
          <w:sz w:val="24"/>
          <w:szCs w:val="24"/>
        </w:rPr>
        <w:t xml:space="preserve">Analyse sociodémographique des relations entre entrée dans la vie </w:t>
      </w:r>
      <w:r w:rsidRPr="0022374B">
        <w:rPr>
          <w:rFonts w:ascii="Times New Roman" w:hAnsi="Times New Roman"/>
          <w:b/>
          <w:sz w:val="24"/>
          <w:szCs w:val="24"/>
        </w:rPr>
        <w:t xml:space="preserve">féconde et grossesse précoce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 xml:space="preserve">Le tableau ci-dessous </w:t>
      </w:r>
      <w:r w:rsidRPr="0022374B">
        <w:rPr>
          <w:rStyle w:val="2H"/>
          <w:rFonts w:ascii="Times New Roman" w:hAnsi="Times New Roman"/>
          <w:b w:val="0"/>
          <w:iCs/>
          <w:szCs w:val="24"/>
        </w:rPr>
        <w:t xml:space="preserve">(extrait du tableau RH.3 ci-après) </w:t>
      </w:r>
      <w:r w:rsidRPr="0022374B">
        <w:rPr>
          <w:rFonts w:ascii="Times New Roman" w:hAnsi="Times New Roman"/>
          <w:bCs/>
          <w:sz w:val="24"/>
          <w:szCs w:val="24"/>
        </w:rPr>
        <w:t>présente les p</w:t>
      </w:r>
      <w:r w:rsidRPr="0022374B">
        <w:rPr>
          <w:rFonts w:ascii="Times New Roman" w:hAnsi="Times New Roman"/>
          <w:sz w:val="24"/>
          <w:szCs w:val="24"/>
        </w:rPr>
        <w:t>ourcentages d’a</w:t>
      </w:r>
      <w:r w:rsidRPr="0022374B">
        <w:rPr>
          <w:rFonts w:ascii="Times New Roman" w:hAnsi="Times New Roman"/>
          <w:bCs/>
          <w:sz w:val="24"/>
          <w:szCs w:val="24"/>
        </w:rPr>
        <w:t xml:space="preserve">dolescentes (15-19 ans) et de jeunes adultes (20-24 ans) </w:t>
      </w:r>
      <w:r w:rsidRPr="0022374B">
        <w:rPr>
          <w:rFonts w:ascii="Times New Roman" w:hAnsi="Times New Roman"/>
          <w:sz w:val="24"/>
          <w:szCs w:val="24"/>
        </w:rPr>
        <w:t>qui ont commencé leur vie féconde et qui ont eu une naissance vivante avant l'âge de 15 ans.</w:t>
      </w:r>
    </w:p>
    <w:p w:rsidR="00B446D0" w:rsidRPr="0022374B" w:rsidRDefault="00B446D0" w:rsidP="0022374B">
      <w:pPr>
        <w:widowControl w:val="0"/>
        <w:spacing w:before="120"/>
        <w:jc w:val="both"/>
        <w:rPr>
          <w:rFonts w:ascii="Times New Roman" w:hAnsi="Times New Roman"/>
          <w:sz w:val="24"/>
          <w:szCs w:val="24"/>
        </w:rPr>
      </w:pPr>
    </w:p>
    <w:tbl>
      <w:tblPr>
        <w:tblW w:w="8843" w:type="dxa"/>
        <w:jc w:val="center"/>
        <w:tblBorders>
          <w:top w:val="single" w:sz="4" w:space="0" w:color="auto"/>
          <w:bottom w:val="single" w:sz="4" w:space="0" w:color="auto"/>
        </w:tblBorders>
        <w:tblCellMar>
          <w:left w:w="70" w:type="dxa"/>
          <w:right w:w="70" w:type="dxa"/>
        </w:tblCellMar>
        <w:tblLook w:val="00A0" w:firstRow="1" w:lastRow="0" w:firstColumn="1" w:lastColumn="0" w:noHBand="0" w:noVBand="0"/>
      </w:tblPr>
      <w:tblGrid>
        <w:gridCol w:w="1042"/>
        <w:gridCol w:w="1420"/>
        <w:gridCol w:w="1113"/>
        <w:gridCol w:w="948"/>
        <w:gridCol w:w="1370"/>
        <w:gridCol w:w="1448"/>
        <w:gridCol w:w="1502"/>
      </w:tblGrid>
      <w:tr w:rsidR="00B446D0" w:rsidRPr="0022374B" w:rsidTr="00CD18E4">
        <w:trPr>
          <w:trHeight w:val="744"/>
          <w:jc w:val="center"/>
        </w:trPr>
        <w:tc>
          <w:tcPr>
            <w:tcW w:w="1042" w:type="dxa"/>
            <w:tcBorders>
              <w:top w:val="single" w:sz="4" w:space="0" w:color="auto"/>
              <w:bottom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p>
        </w:tc>
        <w:tc>
          <w:tcPr>
            <w:tcW w:w="1100" w:type="dxa"/>
            <w:tcBorders>
              <w:top w:val="single" w:sz="4" w:space="0" w:color="auto"/>
              <w:bottom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Adolescentes</w:t>
            </w:r>
          </w:p>
        </w:tc>
        <w:tc>
          <w:tcPr>
            <w:tcW w:w="1089" w:type="dxa"/>
            <w:tcBorders>
              <w:top w:val="single" w:sz="4" w:space="0" w:color="auto"/>
              <w:bottom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p>
        </w:tc>
        <w:tc>
          <w:tcPr>
            <w:tcW w:w="1008" w:type="dxa"/>
            <w:tcBorders>
              <w:top w:val="single" w:sz="4" w:space="0" w:color="auto"/>
              <w:bottom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p>
        </w:tc>
        <w:tc>
          <w:tcPr>
            <w:tcW w:w="4604" w:type="dxa"/>
            <w:gridSpan w:val="3"/>
            <w:tcBorders>
              <w:top w:val="single" w:sz="4" w:space="0" w:color="auto"/>
              <w:bottom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Jeunes adultes</w:t>
            </w:r>
          </w:p>
        </w:tc>
      </w:tr>
      <w:tr w:rsidR="00B446D0" w:rsidRPr="0022374B" w:rsidTr="00CD18E4">
        <w:trPr>
          <w:trHeight w:val="744"/>
          <w:jc w:val="center"/>
        </w:trPr>
        <w:tc>
          <w:tcPr>
            <w:tcW w:w="1042" w:type="dxa"/>
            <w:tcBorders>
              <w:top w:val="single" w:sz="4" w:space="0" w:color="auto"/>
            </w:tcBorders>
          </w:tcPr>
          <w:p w:rsidR="00B446D0" w:rsidRPr="0022374B" w:rsidRDefault="00B446D0" w:rsidP="0022374B">
            <w:pPr>
              <w:pStyle w:val="Sansinterligne1"/>
              <w:widowControl w:val="0"/>
              <w:spacing w:before="120"/>
              <w:jc w:val="both"/>
              <w:rPr>
                <w:rFonts w:ascii="Times New Roman" w:hAnsi="Times New Roman" w:cs="Times New Roman"/>
                <w:sz w:val="24"/>
                <w:szCs w:val="24"/>
              </w:rPr>
            </w:pPr>
          </w:p>
        </w:tc>
        <w:tc>
          <w:tcPr>
            <w:tcW w:w="1100" w:type="dxa"/>
            <w:tcBorders>
              <w:top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 xml:space="preserve">Vie féconde commencée </w:t>
            </w:r>
          </w:p>
        </w:tc>
        <w:tc>
          <w:tcPr>
            <w:tcW w:w="1089" w:type="dxa"/>
            <w:tcBorders>
              <w:top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Naissance avant 15</w:t>
            </w:r>
            <w:r w:rsidRPr="0022374B">
              <w:rPr>
                <w:rStyle w:val="2H"/>
                <w:rFonts w:ascii="Times New Roman" w:hAnsi="Times New Roman" w:cs="Times New Roman"/>
                <w:b w:val="0"/>
                <w:szCs w:val="24"/>
              </w:rPr>
              <w:t> </w:t>
            </w:r>
            <w:r w:rsidRPr="0022374B">
              <w:rPr>
                <w:rFonts w:ascii="Times New Roman" w:hAnsi="Times New Roman" w:cs="Times New Roman"/>
                <w:sz w:val="24"/>
                <w:szCs w:val="24"/>
              </w:rPr>
              <w:t>ans</w:t>
            </w:r>
          </w:p>
        </w:tc>
        <w:tc>
          <w:tcPr>
            <w:tcW w:w="1008" w:type="dxa"/>
            <w:tcBorders>
              <w:top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(N)</w:t>
            </w:r>
          </w:p>
        </w:tc>
        <w:tc>
          <w:tcPr>
            <w:tcW w:w="1388" w:type="dxa"/>
            <w:tcBorders>
              <w:top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Vie féconde commencée</w:t>
            </w:r>
          </w:p>
        </w:tc>
        <w:tc>
          <w:tcPr>
            <w:tcW w:w="1521" w:type="dxa"/>
            <w:tcBorders>
              <w:top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Naissance avant 15</w:t>
            </w:r>
            <w:r w:rsidRPr="0022374B">
              <w:rPr>
                <w:rStyle w:val="2H"/>
                <w:rFonts w:ascii="Times New Roman" w:hAnsi="Times New Roman" w:cs="Times New Roman"/>
                <w:b w:val="0"/>
                <w:szCs w:val="24"/>
              </w:rPr>
              <w:t> </w:t>
            </w:r>
            <w:r w:rsidRPr="0022374B">
              <w:rPr>
                <w:rFonts w:ascii="Times New Roman" w:hAnsi="Times New Roman" w:cs="Times New Roman"/>
                <w:sz w:val="24"/>
                <w:szCs w:val="24"/>
              </w:rPr>
              <w:t>ans</w:t>
            </w:r>
          </w:p>
        </w:tc>
        <w:tc>
          <w:tcPr>
            <w:tcW w:w="1695" w:type="dxa"/>
            <w:tcBorders>
              <w:top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r w:rsidRPr="0022374B">
              <w:rPr>
                <w:rFonts w:ascii="Times New Roman" w:hAnsi="Times New Roman" w:cs="Times New Roman"/>
                <w:sz w:val="24"/>
                <w:szCs w:val="24"/>
              </w:rPr>
              <w:t>(N)</w:t>
            </w:r>
          </w:p>
        </w:tc>
      </w:tr>
      <w:tr w:rsidR="00B446D0" w:rsidRPr="0022374B" w:rsidTr="00CD18E4">
        <w:trPr>
          <w:trHeight w:val="255"/>
          <w:jc w:val="center"/>
        </w:trPr>
        <w:tc>
          <w:tcPr>
            <w:tcW w:w="1042" w:type="dxa"/>
            <w:noWrap/>
            <w:vAlign w:val="center"/>
          </w:tcPr>
          <w:p w:rsidR="00B446D0" w:rsidRPr="0022374B" w:rsidRDefault="00B446D0" w:rsidP="0022374B">
            <w:pPr>
              <w:pStyle w:val="Sansinterligne1"/>
              <w:widowControl w:val="0"/>
              <w:spacing w:before="120"/>
              <w:jc w:val="both"/>
              <w:rPr>
                <w:rFonts w:ascii="Times New Roman" w:hAnsi="Times New Roman" w:cs="Times New Roman"/>
                <w:sz w:val="24"/>
                <w:szCs w:val="24"/>
              </w:rPr>
            </w:pPr>
          </w:p>
        </w:tc>
        <w:tc>
          <w:tcPr>
            <w:tcW w:w="1100" w:type="dxa"/>
            <w:vAlign w:val="center"/>
          </w:tcPr>
          <w:p w:rsidR="00B446D0" w:rsidRPr="0022374B" w:rsidRDefault="00B446D0" w:rsidP="0022374B">
            <w:pPr>
              <w:pStyle w:val="Sansinterligne1"/>
              <w:widowControl w:val="0"/>
              <w:spacing w:before="120"/>
              <w:jc w:val="both"/>
              <w:rPr>
                <w:rFonts w:ascii="Times New Roman" w:hAnsi="Times New Roman" w:cs="Times New Roman"/>
                <w:bCs/>
                <w:sz w:val="24"/>
                <w:szCs w:val="24"/>
              </w:rPr>
            </w:pPr>
            <w:r w:rsidRPr="0022374B">
              <w:rPr>
                <w:rFonts w:ascii="Times New Roman" w:hAnsi="Times New Roman" w:cs="Times New Roman"/>
                <w:bCs/>
                <w:sz w:val="24"/>
                <w:szCs w:val="24"/>
              </w:rPr>
              <w:t>17,4</w:t>
            </w:r>
          </w:p>
        </w:tc>
        <w:tc>
          <w:tcPr>
            <w:tcW w:w="1089" w:type="dxa"/>
            <w:vAlign w:val="center"/>
          </w:tcPr>
          <w:p w:rsidR="00B446D0" w:rsidRPr="0022374B" w:rsidRDefault="00B446D0" w:rsidP="0022374B">
            <w:pPr>
              <w:pStyle w:val="Sansinterligne1"/>
              <w:widowControl w:val="0"/>
              <w:spacing w:before="120"/>
              <w:jc w:val="both"/>
              <w:rPr>
                <w:rFonts w:ascii="Times New Roman" w:hAnsi="Times New Roman" w:cs="Times New Roman"/>
                <w:bCs/>
                <w:sz w:val="24"/>
                <w:szCs w:val="24"/>
              </w:rPr>
            </w:pPr>
            <w:r w:rsidRPr="0022374B">
              <w:rPr>
                <w:rFonts w:ascii="Times New Roman" w:hAnsi="Times New Roman" w:cs="Times New Roman"/>
                <w:bCs/>
                <w:sz w:val="24"/>
                <w:szCs w:val="24"/>
              </w:rPr>
              <w:t>1,5</w:t>
            </w:r>
          </w:p>
        </w:tc>
        <w:tc>
          <w:tcPr>
            <w:tcW w:w="1008" w:type="dxa"/>
            <w:vAlign w:val="center"/>
          </w:tcPr>
          <w:p w:rsidR="00B446D0" w:rsidRPr="0022374B" w:rsidRDefault="00B446D0" w:rsidP="0022374B">
            <w:pPr>
              <w:pStyle w:val="Sansinterligne1"/>
              <w:widowControl w:val="0"/>
              <w:spacing w:before="120"/>
              <w:jc w:val="both"/>
              <w:rPr>
                <w:rFonts w:ascii="Times New Roman" w:hAnsi="Times New Roman" w:cs="Times New Roman"/>
                <w:bCs/>
                <w:sz w:val="24"/>
                <w:szCs w:val="24"/>
              </w:rPr>
            </w:pPr>
            <w:r w:rsidRPr="0022374B">
              <w:rPr>
                <w:rFonts w:ascii="Times New Roman" w:hAnsi="Times New Roman" w:cs="Times New Roman"/>
                <w:bCs/>
                <w:sz w:val="24"/>
                <w:szCs w:val="24"/>
              </w:rPr>
              <w:t>3 115</w:t>
            </w:r>
          </w:p>
        </w:tc>
        <w:tc>
          <w:tcPr>
            <w:tcW w:w="1388" w:type="dxa"/>
            <w:vAlign w:val="center"/>
          </w:tcPr>
          <w:p w:rsidR="00B446D0" w:rsidRPr="0022374B" w:rsidRDefault="00B446D0" w:rsidP="0022374B">
            <w:pPr>
              <w:pStyle w:val="Sansinterligne1"/>
              <w:widowControl w:val="0"/>
              <w:spacing w:before="120"/>
              <w:jc w:val="both"/>
              <w:rPr>
                <w:rFonts w:ascii="Times New Roman" w:hAnsi="Times New Roman" w:cs="Times New Roman"/>
                <w:bCs/>
                <w:sz w:val="24"/>
                <w:szCs w:val="24"/>
              </w:rPr>
            </w:pPr>
            <w:r w:rsidRPr="0022374B">
              <w:rPr>
                <w:rFonts w:ascii="Times New Roman" w:hAnsi="Times New Roman" w:cs="Times New Roman"/>
                <w:bCs/>
                <w:sz w:val="24"/>
                <w:szCs w:val="24"/>
              </w:rPr>
              <w:t>67,9</w:t>
            </w:r>
          </w:p>
        </w:tc>
        <w:tc>
          <w:tcPr>
            <w:tcW w:w="1521" w:type="dxa"/>
            <w:vAlign w:val="center"/>
          </w:tcPr>
          <w:p w:rsidR="00B446D0" w:rsidRPr="0022374B" w:rsidRDefault="00B446D0" w:rsidP="0022374B">
            <w:pPr>
              <w:pStyle w:val="Sansinterligne1"/>
              <w:widowControl w:val="0"/>
              <w:spacing w:before="120"/>
              <w:jc w:val="both"/>
              <w:rPr>
                <w:rFonts w:ascii="Times New Roman" w:hAnsi="Times New Roman" w:cs="Times New Roman"/>
                <w:bCs/>
                <w:sz w:val="24"/>
                <w:szCs w:val="24"/>
              </w:rPr>
            </w:pPr>
            <w:r w:rsidRPr="0022374B">
              <w:rPr>
                <w:rFonts w:ascii="Times New Roman" w:hAnsi="Times New Roman" w:cs="Times New Roman"/>
                <w:bCs/>
                <w:sz w:val="24"/>
                <w:szCs w:val="24"/>
              </w:rPr>
              <w:t>3,7</w:t>
            </w:r>
          </w:p>
        </w:tc>
        <w:tc>
          <w:tcPr>
            <w:tcW w:w="1695" w:type="dxa"/>
            <w:vAlign w:val="center"/>
          </w:tcPr>
          <w:p w:rsidR="00B446D0" w:rsidRPr="0022374B" w:rsidRDefault="00B446D0" w:rsidP="0022374B">
            <w:pPr>
              <w:pStyle w:val="Sansinterligne1"/>
              <w:widowControl w:val="0"/>
              <w:spacing w:before="120"/>
              <w:jc w:val="both"/>
              <w:rPr>
                <w:rFonts w:ascii="Times New Roman" w:hAnsi="Times New Roman" w:cs="Times New Roman"/>
                <w:bCs/>
                <w:sz w:val="24"/>
                <w:szCs w:val="24"/>
              </w:rPr>
            </w:pPr>
            <w:r w:rsidRPr="0022374B">
              <w:rPr>
                <w:rFonts w:ascii="Times New Roman" w:hAnsi="Times New Roman" w:cs="Times New Roman"/>
                <w:bCs/>
                <w:sz w:val="24"/>
                <w:szCs w:val="24"/>
              </w:rPr>
              <w:t>2765</w:t>
            </w:r>
          </w:p>
        </w:tc>
      </w:tr>
    </w:tbl>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Style w:val="2H"/>
          <w:rFonts w:ascii="Times New Roman" w:hAnsi="Times New Roman"/>
          <w:b w:val="0"/>
          <w:bCs/>
          <w:iCs/>
          <w:szCs w:val="24"/>
        </w:rPr>
      </w:pPr>
      <w:r w:rsidRPr="0022374B">
        <w:rPr>
          <w:rStyle w:val="2H"/>
          <w:rFonts w:ascii="Times New Roman" w:hAnsi="Times New Roman"/>
          <w:b w:val="0"/>
          <w:iCs/>
          <w:szCs w:val="24"/>
        </w:rPr>
        <w:t xml:space="preserve">Il appelle les deux commentaires suivants. </w:t>
      </w:r>
    </w:p>
    <w:p w:rsidR="00B446D0" w:rsidRPr="0022374B" w:rsidRDefault="00B446D0" w:rsidP="0022374B">
      <w:pPr>
        <w:widowControl w:val="0"/>
        <w:spacing w:before="120"/>
        <w:jc w:val="both"/>
        <w:rPr>
          <w:rStyle w:val="2H"/>
          <w:rFonts w:ascii="Times New Roman" w:hAnsi="Times New Roman"/>
          <w:b w:val="0"/>
          <w:bCs/>
          <w:iCs/>
          <w:szCs w:val="24"/>
        </w:rPr>
      </w:pPr>
      <w:r w:rsidRPr="0022374B">
        <w:rPr>
          <w:rStyle w:val="2H"/>
          <w:rFonts w:ascii="Times New Roman" w:hAnsi="Times New Roman"/>
          <w:b w:val="0"/>
          <w:iCs/>
          <w:szCs w:val="24"/>
        </w:rPr>
        <w:t xml:space="preserve">Premièrement, dans la société béninoise, où la fécondité reste un objectif prioritaire assigné aux jeunes filles et aux femmes, l’entrée en union est une étape importante de leur cycle de vie. Le mariage est donc conclu, soit dans les années qui suivent immédiatement la puberté pour certaines femmes, soit plus tard pour d’autres. Divers facteurs interviennent et notamment la stratégie matrimoniale et d’alliance de la famille, mais aussi les qualités propres de la jeune fille (bonne éducation et qualités de ménagère, comportement conforme aux normes en vigueur dans le milieu social, éventuellement beauté physique et traits de caractère). Dans une société où la pratique de la contraception reste marginale, l’entrée en union est généralement associée à la survenue rapide de la première grossesse, sauf bien sûr en cas de difficulté à concevoir, voire de stérilité avérée. Il en résulte que l’on doit observer dans l’échantillon un accroissement rapide de la proportion de femmes ayant commencé leur vie féconde quand on compare les adolescentes de 15-19 ans aux jeunes adultes de 20-24 ans. C’est ce que montre très clairement le tableau : la proportion de femmes passe de 17 % à 68 %, soit un quadruplement.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Deuxièmement, les grossesses précoces (au sens où elles sont définies dans cette étude, soit une survenance avant 15 ans) sont évidemment moins fréquentes que les entrées en union. Pour une jeune fille de 15-19 ans ayant commencé sa vie féconde, cela implique en effet qu’elle ait eu sa première grossesse avant 15 ans, soit à 12, 13, 14 ans. Or deux facteurs vont réduire la probabilité de telles grossesses très précoces : d’abord la capacité physiologique à concevoir proprement dite, la </w:t>
      </w:r>
      <w:r w:rsidRPr="0022374B">
        <w:rPr>
          <w:rFonts w:ascii="Times New Roman" w:hAnsi="Times New Roman"/>
          <w:i/>
          <w:sz w:val="24"/>
          <w:szCs w:val="24"/>
        </w:rPr>
        <w:t>fertilité</w:t>
      </w:r>
      <w:r w:rsidRPr="0022374B">
        <w:rPr>
          <w:rFonts w:ascii="Times New Roman" w:hAnsi="Times New Roman"/>
          <w:sz w:val="24"/>
          <w:szCs w:val="24"/>
        </w:rPr>
        <w:t xml:space="preserve"> de la jeune fille, n’a pas atteint son maximum ; ensuite, le fait que la jeune fille ne soit pas mariée est un obstacle sociétal majeur à la survenue d’une grossesse prénuptiale, sauf cas de grossesse accidentelle (relation sexuelle occasionnelle consentante ou viol).</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pStyle w:val="Paragraphedeliste"/>
        <w:widowControl w:val="0"/>
        <w:numPr>
          <w:ilvl w:val="1"/>
          <w:numId w:val="2"/>
        </w:numPr>
        <w:spacing w:before="120" w:after="0" w:line="240" w:lineRule="auto"/>
        <w:ind w:left="0" w:firstLine="0"/>
        <w:jc w:val="both"/>
        <w:rPr>
          <w:rFonts w:ascii="Times New Roman" w:hAnsi="Times New Roman"/>
          <w:b/>
          <w:sz w:val="24"/>
          <w:szCs w:val="24"/>
        </w:rPr>
      </w:pPr>
      <w:r w:rsidRPr="0022374B">
        <w:rPr>
          <w:rFonts w:ascii="Times New Roman" w:hAnsi="Times New Roman"/>
          <w:b/>
          <w:bCs/>
          <w:sz w:val="24"/>
          <w:szCs w:val="24"/>
        </w:rPr>
        <w:t xml:space="preserve"> Facteurs influant sur l’entrée dans la vie </w:t>
      </w:r>
      <w:r w:rsidRPr="0022374B">
        <w:rPr>
          <w:rFonts w:ascii="Times New Roman" w:hAnsi="Times New Roman"/>
          <w:b/>
          <w:sz w:val="24"/>
          <w:szCs w:val="24"/>
        </w:rPr>
        <w:t xml:space="preserve">féconde et les grossesses précoces </w:t>
      </w:r>
    </w:p>
    <w:p w:rsidR="00B446D0" w:rsidRPr="0022374B" w:rsidRDefault="00B446D0" w:rsidP="0022374B">
      <w:pPr>
        <w:widowControl w:val="0"/>
        <w:spacing w:before="120"/>
        <w:jc w:val="both"/>
        <w:rPr>
          <w:rStyle w:val="2H"/>
          <w:rFonts w:ascii="Times New Roman" w:hAnsi="Times New Roman"/>
          <w:b w:val="0"/>
          <w:bCs/>
          <w:iCs/>
          <w:szCs w:val="24"/>
        </w:rPr>
      </w:pPr>
      <w:r w:rsidRPr="0022374B">
        <w:rPr>
          <w:rStyle w:val="2H"/>
          <w:rFonts w:ascii="Times New Roman" w:hAnsi="Times New Roman"/>
          <w:b w:val="0"/>
          <w:iCs/>
          <w:szCs w:val="24"/>
        </w:rPr>
        <w:t>Le tableau</w:t>
      </w:r>
      <w:r w:rsidRPr="0022374B">
        <w:rPr>
          <w:rStyle w:val="2H"/>
          <w:rFonts w:ascii="Times New Roman" w:hAnsi="Times New Roman"/>
          <w:szCs w:val="24"/>
        </w:rPr>
        <w:t> </w:t>
      </w:r>
      <w:r w:rsidRPr="0022374B">
        <w:rPr>
          <w:rStyle w:val="2H"/>
          <w:rFonts w:ascii="Times New Roman" w:hAnsi="Times New Roman"/>
          <w:b w:val="0"/>
          <w:iCs/>
          <w:szCs w:val="24"/>
        </w:rPr>
        <w:t xml:space="preserve">RH.3 compare les adolescentes (15-19 ans), les jeunes adultes (20-24 ans) et l’ensemble des femmes de 15-49 ans afin de mettre en évidence une éventuel changement de comportement dans le sens d’une plus grande ou au contraire moindre précocité. </w:t>
      </w:r>
    </w:p>
    <w:p w:rsidR="00B446D0" w:rsidRPr="0022374B" w:rsidRDefault="00B446D0" w:rsidP="008870D4">
      <w:pPr>
        <w:widowControl w:val="0"/>
        <w:tabs>
          <w:tab w:val="left" w:pos="142"/>
          <w:tab w:val="left" w:pos="284"/>
        </w:tabs>
        <w:suppressAutoHyphens/>
        <w:spacing w:before="120"/>
        <w:jc w:val="center"/>
        <w:rPr>
          <w:rFonts w:ascii="Times New Roman" w:hAnsi="Times New Roman"/>
          <w:b/>
          <w:bCs/>
          <w:sz w:val="24"/>
          <w:szCs w:val="24"/>
        </w:rPr>
      </w:pPr>
    </w:p>
    <w:p w:rsidR="00B446D0" w:rsidRPr="0022374B" w:rsidRDefault="00B446D0" w:rsidP="008870D4">
      <w:pPr>
        <w:widowControl w:val="0"/>
        <w:tabs>
          <w:tab w:val="left" w:pos="142"/>
          <w:tab w:val="left" w:pos="284"/>
        </w:tabs>
        <w:suppressAutoHyphens/>
        <w:spacing w:before="120"/>
        <w:jc w:val="center"/>
        <w:rPr>
          <w:rFonts w:ascii="Times New Roman" w:hAnsi="Times New Roman"/>
          <w:b/>
          <w:sz w:val="24"/>
          <w:szCs w:val="24"/>
        </w:rPr>
      </w:pPr>
      <w:r w:rsidRPr="0022374B">
        <w:rPr>
          <w:rFonts w:ascii="Times New Roman" w:hAnsi="Times New Roman"/>
          <w:b/>
          <w:bCs/>
          <w:sz w:val="24"/>
          <w:szCs w:val="24"/>
        </w:rPr>
        <w:t xml:space="preserve">Tableau RH.3 : Entrée dans la vie </w:t>
      </w:r>
      <w:r w:rsidRPr="0022374B">
        <w:rPr>
          <w:rFonts w:ascii="Times New Roman" w:hAnsi="Times New Roman"/>
          <w:b/>
          <w:sz w:val="24"/>
          <w:szCs w:val="24"/>
        </w:rPr>
        <w:t>féconde et g</w:t>
      </w:r>
      <w:r w:rsidRPr="0022374B">
        <w:rPr>
          <w:rFonts w:ascii="Times New Roman" w:hAnsi="Times New Roman"/>
          <w:b/>
          <w:bCs/>
          <w:sz w:val="24"/>
          <w:szCs w:val="24"/>
        </w:rPr>
        <w:t>rossesses précoces</w:t>
      </w:r>
    </w:p>
    <w:p w:rsidR="00B446D0" w:rsidRPr="0022374B" w:rsidRDefault="00B446D0" w:rsidP="008870D4">
      <w:pPr>
        <w:widowControl w:val="0"/>
        <w:spacing w:before="120"/>
        <w:jc w:val="center"/>
        <w:rPr>
          <w:rFonts w:ascii="Times New Roman" w:hAnsi="Times New Roman"/>
          <w:sz w:val="24"/>
          <w:szCs w:val="24"/>
        </w:rPr>
      </w:pPr>
    </w:p>
    <w:p w:rsidR="00B446D0" w:rsidRPr="0022374B" w:rsidRDefault="00B446D0" w:rsidP="008870D4">
      <w:pPr>
        <w:widowControl w:val="0"/>
        <w:spacing w:before="120"/>
        <w:jc w:val="center"/>
        <w:rPr>
          <w:rFonts w:ascii="Times New Roman" w:hAnsi="Times New Roman"/>
          <w:sz w:val="24"/>
          <w:szCs w:val="24"/>
        </w:rPr>
      </w:pPr>
      <w:r w:rsidRPr="0022374B">
        <w:rPr>
          <w:rFonts w:ascii="Times New Roman" w:hAnsi="Times New Roman"/>
          <w:sz w:val="24"/>
          <w:szCs w:val="24"/>
        </w:rPr>
        <w:t>Pourcentage d’</w:t>
      </w:r>
      <w:r w:rsidRPr="0022374B">
        <w:rPr>
          <w:rFonts w:ascii="Times New Roman" w:hAnsi="Times New Roman"/>
          <w:bCs/>
          <w:sz w:val="24"/>
          <w:szCs w:val="24"/>
        </w:rPr>
        <w:t xml:space="preserve">Adolescentes (15-19 ans) et de Jeunes adultes et de l’Ensemble des femmes (15-49 ans) </w:t>
      </w:r>
      <w:r w:rsidRPr="0022374B">
        <w:rPr>
          <w:rFonts w:ascii="Times New Roman" w:hAnsi="Times New Roman"/>
          <w:sz w:val="24"/>
          <w:szCs w:val="24"/>
        </w:rPr>
        <w:t>qui ont commencé leur vie féconde et pourcentage qui ont eu une naissance vivante avant l'âge de 15 ans</w:t>
      </w:r>
      <w:r w:rsidRPr="0022374B">
        <w:rPr>
          <w:rFonts w:ascii="Times New Roman" w:hAnsi="Times New Roman"/>
          <w:iCs/>
          <w:sz w:val="24"/>
          <w:szCs w:val="24"/>
        </w:rPr>
        <w:t xml:space="preserve"> </w:t>
      </w:r>
      <w:r w:rsidRPr="0022374B">
        <w:rPr>
          <w:rFonts w:ascii="Times New Roman" w:hAnsi="Times New Roman"/>
          <w:sz w:val="24"/>
          <w:szCs w:val="24"/>
        </w:rPr>
        <w:t>selon les caractéristiques socioéconomiques.</w:t>
      </w:r>
    </w:p>
    <w:tbl>
      <w:tblPr>
        <w:tblW w:w="9069" w:type="dxa"/>
        <w:jc w:val="center"/>
        <w:tblCellMar>
          <w:left w:w="70" w:type="dxa"/>
          <w:right w:w="70" w:type="dxa"/>
        </w:tblCellMar>
        <w:tblLook w:val="00A0" w:firstRow="1" w:lastRow="0" w:firstColumn="1" w:lastColumn="0" w:noHBand="0" w:noVBand="0"/>
      </w:tblPr>
      <w:tblGrid>
        <w:gridCol w:w="1236"/>
        <w:gridCol w:w="1313"/>
        <w:gridCol w:w="1061"/>
        <w:gridCol w:w="653"/>
        <w:gridCol w:w="751"/>
        <w:gridCol w:w="1052"/>
        <w:gridCol w:w="593"/>
        <w:gridCol w:w="676"/>
        <w:gridCol w:w="1032"/>
        <w:gridCol w:w="702"/>
      </w:tblGrid>
      <w:tr w:rsidR="00B446D0" w:rsidRPr="0022374B" w:rsidTr="00CD18E4">
        <w:trPr>
          <w:trHeight w:val="744"/>
          <w:jc w:val="center"/>
        </w:trPr>
        <w:tc>
          <w:tcPr>
            <w:tcW w:w="1236" w:type="dxa"/>
            <w:tcBorders>
              <w:top w:val="single" w:sz="4" w:space="0" w:color="auto"/>
              <w:left w:val="single" w:sz="4" w:space="0" w:color="auto"/>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p>
        </w:tc>
        <w:tc>
          <w:tcPr>
            <w:tcW w:w="1313" w:type="dxa"/>
            <w:tcBorders>
              <w:top w:val="single" w:sz="4" w:space="0" w:color="auto"/>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Adolescentes</w:t>
            </w:r>
          </w:p>
        </w:tc>
        <w:tc>
          <w:tcPr>
            <w:tcW w:w="1061" w:type="dxa"/>
            <w:tcBorders>
              <w:top w:val="single" w:sz="4" w:space="0" w:color="auto"/>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p>
        </w:tc>
        <w:tc>
          <w:tcPr>
            <w:tcW w:w="653"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p>
        </w:tc>
        <w:tc>
          <w:tcPr>
            <w:tcW w:w="2396" w:type="dxa"/>
            <w:gridSpan w:val="3"/>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Jeunes adultes</w:t>
            </w:r>
          </w:p>
        </w:tc>
        <w:tc>
          <w:tcPr>
            <w:tcW w:w="2410" w:type="dxa"/>
            <w:gridSpan w:val="3"/>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Ensemble des femmes</w:t>
            </w:r>
          </w:p>
        </w:tc>
      </w:tr>
      <w:tr w:rsidR="00B446D0" w:rsidRPr="0022374B" w:rsidTr="00CD18E4">
        <w:trPr>
          <w:trHeight w:val="744"/>
          <w:jc w:val="center"/>
        </w:trPr>
        <w:tc>
          <w:tcPr>
            <w:tcW w:w="1236" w:type="dxa"/>
            <w:tcBorders>
              <w:top w:val="single" w:sz="4" w:space="0" w:color="auto"/>
              <w:left w:val="single" w:sz="4" w:space="0" w:color="auto"/>
              <w:bottom w:val="single" w:sz="4" w:space="0" w:color="auto"/>
              <w:right w:val="nil"/>
            </w:tcBorders>
          </w:tcPr>
          <w:p w:rsidR="00B446D0" w:rsidRPr="0022374B" w:rsidRDefault="00B446D0" w:rsidP="0022374B">
            <w:pPr>
              <w:pStyle w:val="Sansinterligne1"/>
              <w:widowControl w:val="0"/>
              <w:spacing w:before="120"/>
              <w:jc w:val="both"/>
              <w:rPr>
                <w:rFonts w:ascii="Times New Roman" w:hAnsi="Times New Roman" w:cs="Times New Roman"/>
              </w:rPr>
            </w:pPr>
          </w:p>
        </w:tc>
        <w:tc>
          <w:tcPr>
            <w:tcW w:w="1313" w:type="dxa"/>
            <w:tcBorders>
              <w:top w:val="single" w:sz="4" w:space="0" w:color="auto"/>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 xml:space="preserve">Vie </w:t>
            </w:r>
          </w:p>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féconde</w:t>
            </w:r>
          </w:p>
        </w:tc>
        <w:tc>
          <w:tcPr>
            <w:tcW w:w="1061" w:type="dxa"/>
            <w:tcBorders>
              <w:top w:val="single" w:sz="4" w:space="0" w:color="auto"/>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Naissance &lt; 15</w:t>
            </w:r>
            <w:r w:rsidRPr="0022374B">
              <w:rPr>
                <w:rStyle w:val="2H"/>
                <w:rFonts w:ascii="Times New Roman" w:hAnsi="Times New Roman" w:cs="Times New Roman"/>
                <w:sz w:val="22"/>
              </w:rPr>
              <w:t> </w:t>
            </w:r>
            <w:r w:rsidRPr="0022374B">
              <w:rPr>
                <w:rFonts w:ascii="Times New Roman" w:hAnsi="Times New Roman" w:cs="Times New Roman"/>
              </w:rPr>
              <w:t>ans</w:t>
            </w:r>
          </w:p>
        </w:tc>
        <w:tc>
          <w:tcPr>
            <w:tcW w:w="653"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(N)</w:t>
            </w:r>
          </w:p>
        </w:tc>
        <w:tc>
          <w:tcPr>
            <w:tcW w:w="751"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Vie féc.</w:t>
            </w:r>
          </w:p>
        </w:tc>
        <w:tc>
          <w:tcPr>
            <w:tcW w:w="1052"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Naissance &lt; 15</w:t>
            </w:r>
            <w:r w:rsidRPr="0022374B">
              <w:rPr>
                <w:rStyle w:val="2H"/>
                <w:rFonts w:ascii="Times New Roman" w:hAnsi="Times New Roman" w:cs="Times New Roman"/>
                <w:sz w:val="22"/>
              </w:rPr>
              <w:t> </w:t>
            </w:r>
            <w:r w:rsidRPr="0022374B">
              <w:rPr>
                <w:rFonts w:ascii="Times New Roman" w:hAnsi="Times New Roman" w:cs="Times New Roman"/>
              </w:rPr>
              <w:t>ans</w:t>
            </w:r>
          </w:p>
        </w:tc>
        <w:tc>
          <w:tcPr>
            <w:tcW w:w="593"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(N)</w:t>
            </w:r>
          </w:p>
        </w:tc>
        <w:tc>
          <w:tcPr>
            <w:tcW w:w="676"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Vie féc.</w:t>
            </w:r>
          </w:p>
        </w:tc>
        <w:tc>
          <w:tcPr>
            <w:tcW w:w="1032"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Naissance &lt; 15</w:t>
            </w:r>
            <w:r w:rsidRPr="0022374B">
              <w:rPr>
                <w:rStyle w:val="2H"/>
                <w:rFonts w:ascii="Times New Roman" w:hAnsi="Times New Roman" w:cs="Times New Roman"/>
                <w:b w:val="0"/>
                <w:sz w:val="22"/>
              </w:rPr>
              <w:t> </w:t>
            </w:r>
            <w:r w:rsidRPr="0022374B">
              <w:rPr>
                <w:rFonts w:ascii="Times New Roman" w:hAnsi="Times New Roman" w:cs="Times New Roman"/>
              </w:rPr>
              <w:t>ans</w:t>
            </w:r>
          </w:p>
        </w:tc>
        <w:tc>
          <w:tcPr>
            <w:tcW w:w="702" w:type="dxa"/>
            <w:tcBorders>
              <w:top w:val="single" w:sz="4" w:space="0" w:color="auto"/>
              <w:left w:val="nil"/>
              <w:bottom w:val="single" w:sz="4" w:space="0" w:color="000000"/>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(N)</w:t>
            </w:r>
          </w:p>
        </w:tc>
      </w:tr>
      <w:tr w:rsidR="00B446D0" w:rsidRPr="0022374B" w:rsidTr="00CD18E4">
        <w:trPr>
          <w:trHeight w:val="255"/>
          <w:jc w:val="center"/>
        </w:trPr>
        <w:tc>
          <w:tcPr>
            <w:tcW w:w="1236" w:type="dxa"/>
            <w:tcBorders>
              <w:top w:val="nil"/>
              <w:left w:val="single" w:sz="4" w:space="0" w:color="auto"/>
              <w:bottom w:val="single" w:sz="4" w:space="0" w:color="auto"/>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Total</w:t>
            </w:r>
          </w:p>
        </w:tc>
        <w:tc>
          <w:tcPr>
            <w:tcW w:w="1313"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17,4</w:t>
            </w:r>
          </w:p>
        </w:tc>
        <w:tc>
          <w:tcPr>
            <w:tcW w:w="1061"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1,5</w:t>
            </w:r>
          </w:p>
        </w:tc>
        <w:tc>
          <w:tcPr>
            <w:tcW w:w="653"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3 115</w:t>
            </w:r>
          </w:p>
        </w:tc>
        <w:tc>
          <w:tcPr>
            <w:tcW w:w="751"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67,9</w:t>
            </w:r>
          </w:p>
        </w:tc>
        <w:tc>
          <w:tcPr>
            <w:tcW w:w="1052"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3,7</w:t>
            </w:r>
          </w:p>
        </w:tc>
        <w:tc>
          <w:tcPr>
            <w:tcW w:w="593"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2765</w:t>
            </w:r>
          </w:p>
        </w:tc>
        <w:tc>
          <w:tcPr>
            <w:tcW w:w="676" w:type="dxa"/>
            <w:tcBorders>
              <w:top w:val="nil"/>
              <w:left w:val="nil"/>
              <w:bottom w:val="single" w:sz="4" w:space="0" w:color="auto"/>
              <w:right w:val="single" w:sz="4" w:space="0" w:color="auto"/>
            </w:tcBorders>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75,6</w:t>
            </w:r>
          </w:p>
        </w:tc>
        <w:tc>
          <w:tcPr>
            <w:tcW w:w="1032" w:type="dxa"/>
            <w:tcBorders>
              <w:top w:val="nil"/>
              <w:left w:val="nil"/>
              <w:bottom w:val="single" w:sz="4" w:space="0" w:color="auto"/>
              <w:right w:val="single" w:sz="4" w:space="0" w:color="auto"/>
            </w:tcBorders>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4,7</w:t>
            </w:r>
          </w:p>
        </w:tc>
        <w:tc>
          <w:tcPr>
            <w:tcW w:w="702"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15815</w:t>
            </w:r>
          </w:p>
        </w:tc>
      </w:tr>
      <w:tr w:rsidR="00B446D0" w:rsidRPr="0022374B" w:rsidTr="00CD18E4">
        <w:trPr>
          <w:trHeight w:val="302"/>
          <w:jc w:val="center"/>
        </w:trPr>
        <w:tc>
          <w:tcPr>
            <w:tcW w:w="9069" w:type="dxa"/>
            <w:gridSpan w:val="10"/>
            <w:tcBorders>
              <w:top w:val="single" w:sz="4" w:space="0" w:color="auto"/>
              <w:left w:val="single" w:sz="4" w:space="0" w:color="auto"/>
              <w:bottom w:val="single" w:sz="4" w:space="0" w:color="auto"/>
              <w:right w:val="single" w:sz="4" w:space="0" w:color="auto"/>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Département</w:t>
            </w:r>
          </w:p>
        </w:tc>
      </w:tr>
      <w:tr w:rsidR="00B446D0" w:rsidRPr="0022374B" w:rsidTr="00CD18E4">
        <w:trPr>
          <w:trHeight w:val="255"/>
          <w:jc w:val="center"/>
        </w:trPr>
        <w:tc>
          <w:tcPr>
            <w:tcW w:w="1236" w:type="dxa"/>
            <w:tcBorders>
              <w:top w:val="single" w:sz="4" w:space="0" w:color="auto"/>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Alibori</w:t>
            </w:r>
          </w:p>
        </w:tc>
        <w:tc>
          <w:tcPr>
            <w:tcW w:w="1313" w:type="dxa"/>
            <w:tcBorders>
              <w:top w:val="single" w:sz="4" w:space="0" w:color="auto"/>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20,7</w:t>
            </w:r>
          </w:p>
        </w:tc>
        <w:tc>
          <w:tcPr>
            <w:tcW w:w="1061" w:type="dxa"/>
            <w:tcBorders>
              <w:top w:val="single" w:sz="4" w:space="0" w:color="auto"/>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0,8</w:t>
            </w:r>
          </w:p>
        </w:tc>
        <w:tc>
          <w:tcPr>
            <w:tcW w:w="653" w:type="dxa"/>
            <w:tcBorders>
              <w:top w:val="single" w:sz="4" w:space="0" w:color="auto"/>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202</w:t>
            </w:r>
          </w:p>
        </w:tc>
        <w:tc>
          <w:tcPr>
            <w:tcW w:w="751"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75,7</w:t>
            </w:r>
          </w:p>
        </w:tc>
        <w:tc>
          <w:tcPr>
            <w:tcW w:w="1052"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w:t>
            </w:r>
          </w:p>
        </w:tc>
        <w:tc>
          <w:tcPr>
            <w:tcW w:w="593" w:type="dxa"/>
            <w:tcBorders>
              <w:top w:val="single" w:sz="4" w:space="0" w:color="auto"/>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177</w:t>
            </w:r>
          </w:p>
        </w:tc>
        <w:tc>
          <w:tcPr>
            <w:tcW w:w="676"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79,2</w:t>
            </w:r>
          </w:p>
        </w:tc>
        <w:tc>
          <w:tcPr>
            <w:tcW w:w="1032"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9,0</w:t>
            </w:r>
          </w:p>
        </w:tc>
        <w:tc>
          <w:tcPr>
            <w:tcW w:w="702" w:type="dxa"/>
            <w:tcBorders>
              <w:top w:val="single" w:sz="4" w:space="0" w:color="auto"/>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1 045</w:t>
            </w:r>
          </w:p>
        </w:tc>
      </w:tr>
      <w:tr w:rsidR="00B446D0" w:rsidRPr="0022374B" w:rsidTr="00CD18E4">
        <w:trPr>
          <w:trHeight w:val="246"/>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Atacora</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18,2</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1,4</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297</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73,7</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7,1</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252</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74,4</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6,4</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1 339</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Atlantique</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13,5</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1,3</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423</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58,8</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398</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75,1</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3,2</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2 359</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Borgou</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36,5</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4,6</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293</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74,3</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9,3</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350</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81,5</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9,1</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1 642</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Collines</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18,4</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1,5</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201</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72,5</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5,2</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168</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79,6</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6,4</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1 067</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Couffo</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10,4</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0,0</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336</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64,2</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207</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71,4</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0,9</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1 392</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Donga</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25,0</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4,2</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158</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79,3</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0,7</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144</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79,3</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4,5</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806</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Littoral</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7,9</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0,2</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279</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43,5</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0,4</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251</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64,5</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1,5</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1 377</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Mono</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16,1</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1,8</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183</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66,9</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1,7</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161</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75,5</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3,4</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928</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Ouémé</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12,0</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0,8</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348</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70,0</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2,0</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319</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74,1</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3,4</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1 772</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Plateau</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21,8</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1,0</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181</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76,1</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4,9</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143</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77,5</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5,4</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903</w:t>
            </w:r>
          </w:p>
        </w:tc>
      </w:tr>
      <w:tr w:rsidR="00B446D0" w:rsidRPr="0022374B" w:rsidTr="00CD18E4">
        <w:trPr>
          <w:trHeight w:val="255"/>
          <w:jc w:val="center"/>
        </w:trPr>
        <w:tc>
          <w:tcPr>
            <w:tcW w:w="1236" w:type="dxa"/>
            <w:tcBorders>
              <w:top w:val="nil"/>
              <w:left w:val="single" w:sz="4" w:space="0" w:color="auto"/>
              <w:bottom w:val="single" w:sz="4" w:space="0" w:color="auto"/>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Zou</w:t>
            </w:r>
          </w:p>
        </w:tc>
        <w:tc>
          <w:tcPr>
            <w:tcW w:w="1313"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17,5</w:t>
            </w:r>
          </w:p>
        </w:tc>
        <w:tc>
          <w:tcPr>
            <w:tcW w:w="1061"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1,9</w:t>
            </w:r>
          </w:p>
        </w:tc>
        <w:tc>
          <w:tcPr>
            <w:tcW w:w="653"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214</w:t>
            </w:r>
          </w:p>
        </w:tc>
        <w:tc>
          <w:tcPr>
            <w:tcW w:w="751"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74,3</w:t>
            </w:r>
          </w:p>
        </w:tc>
        <w:tc>
          <w:tcPr>
            <w:tcW w:w="1052"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1,9</w:t>
            </w:r>
          </w:p>
        </w:tc>
        <w:tc>
          <w:tcPr>
            <w:tcW w:w="593" w:type="dxa"/>
            <w:tcBorders>
              <w:top w:val="nil"/>
              <w:left w:val="nil"/>
              <w:bottom w:val="single" w:sz="4" w:space="0" w:color="auto"/>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196</w:t>
            </w:r>
          </w:p>
        </w:tc>
        <w:tc>
          <w:tcPr>
            <w:tcW w:w="676"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79,5</w:t>
            </w:r>
          </w:p>
        </w:tc>
        <w:tc>
          <w:tcPr>
            <w:tcW w:w="1032"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5,3</w:t>
            </w:r>
          </w:p>
        </w:tc>
        <w:tc>
          <w:tcPr>
            <w:tcW w:w="702" w:type="dxa"/>
            <w:tcBorders>
              <w:top w:val="nil"/>
              <w:left w:val="nil"/>
              <w:bottom w:val="single" w:sz="4" w:space="0" w:color="auto"/>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1 185</w:t>
            </w:r>
          </w:p>
        </w:tc>
      </w:tr>
      <w:tr w:rsidR="00B446D0" w:rsidRPr="0022374B" w:rsidTr="00CD18E4">
        <w:trPr>
          <w:trHeight w:val="342"/>
          <w:jc w:val="center"/>
        </w:trPr>
        <w:tc>
          <w:tcPr>
            <w:tcW w:w="9069" w:type="dxa"/>
            <w:gridSpan w:val="10"/>
            <w:tcBorders>
              <w:top w:val="single" w:sz="4" w:space="0" w:color="auto"/>
              <w:left w:val="single" w:sz="4" w:space="0" w:color="auto"/>
              <w:bottom w:val="single" w:sz="4" w:space="0" w:color="auto"/>
              <w:right w:val="single" w:sz="4" w:space="0" w:color="auto"/>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Milieu de résidence</w:t>
            </w:r>
          </w:p>
        </w:tc>
      </w:tr>
      <w:tr w:rsidR="00B446D0" w:rsidRPr="0022374B" w:rsidTr="00CD18E4">
        <w:trPr>
          <w:trHeight w:val="255"/>
          <w:jc w:val="center"/>
        </w:trPr>
        <w:tc>
          <w:tcPr>
            <w:tcW w:w="1236" w:type="dxa"/>
            <w:tcBorders>
              <w:top w:val="single" w:sz="4" w:space="0" w:color="auto"/>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Urbain</w:t>
            </w:r>
          </w:p>
        </w:tc>
        <w:tc>
          <w:tcPr>
            <w:tcW w:w="1313" w:type="dxa"/>
            <w:tcBorders>
              <w:top w:val="single" w:sz="4" w:space="0" w:color="auto"/>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12,6</w:t>
            </w:r>
          </w:p>
        </w:tc>
        <w:tc>
          <w:tcPr>
            <w:tcW w:w="1061" w:type="dxa"/>
            <w:tcBorders>
              <w:top w:val="single" w:sz="4" w:space="0" w:color="auto"/>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0,8</w:t>
            </w:r>
          </w:p>
        </w:tc>
        <w:tc>
          <w:tcPr>
            <w:tcW w:w="653" w:type="dxa"/>
            <w:tcBorders>
              <w:top w:val="single" w:sz="4" w:space="0" w:color="auto"/>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1 549</w:t>
            </w:r>
          </w:p>
        </w:tc>
        <w:tc>
          <w:tcPr>
            <w:tcW w:w="751"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58,7</w:t>
            </w:r>
          </w:p>
        </w:tc>
        <w:tc>
          <w:tcPr>
            <w:tcW w:w="1052"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2,6</w:t>
            </w:r>
          </w:p>
        </w:tc>
        <w:tc>
          <w:tcPr>
            <w:tcW w:w="593" w:type="dxa"/>
            <w:tcBorders>
              <w:top w:val="single" w:sz="4" w:space="0" w:color="auto"/>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1451</w:t>
            </w:r>
          </w:p>
        </w:tc>
        <w:tc>
          <w:tcPr>
            <w:tcW w:w="676"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71,4</w:t>
            </w:r>
          </w:p>
        </w:tc>
        <w:tc>
          <w:tcPr>
            <w:tcW w:w="1032"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3,3</w:t>
            </w:r>
          </w:p>
        </w:tc>
        <w:tc>
          <w:tcPr>
            <w:tcW w:w="702" w:type="dxa"/>
            <w:tcBorders>
              <w:top w:val="single" w:sz="4" w:space="0" w:color="auto"/>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7 753</w:t>
            </w:r>
          </w:p>
        </w:tc>
      </w:tr>
      <w:tr w:rsidR="00B446D0" w:rsidRPr="0022374B" w:rsidTr="00CD18E4">
        <w:trPr>
          <w:trHeight w:val="255"/>
          <w:jc w:val="center"/>
        </w:trPr>
        <w:tc>
          <w:tcPr>
            <w:tcW w:w="1236" w:type="dxa"/>
            <w:tcBorders>
              <w:top w:val="nil"/>
              <w:left w:val="single" w:sz="4" w:space="0" w:color="auto"/>
              <w:bottom w:val="single" w:sz="4" w:space="0" w:color="auto"/>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Rural</w:t>
            </w:r>
          </w:p>
        </w:tc>
        <w:tc>
          <w:tcPr>
            <w:tcW w:w="1313"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22,1</w:t>
            </w:r>
          </w:p>
        </w:tc>
        <w:tc>
          <w:tcPr>
            <w:tcW w:w="1061"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2,3</w:t>
            </w:r>
          </w:p>
        </w:tc>
        <w:tc>
          <w:tcPr>
            <w:tcW w:w="653"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1 565</w:t>
            </w:r>
          </w:p>
        </w:tc>
        <w:tc>
          <w:tcPr>
            <w:tcW w:w="751"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78,0</w:t>
            </w:r>
          </w:p>
        </w:tc>
        <w:tc>
          <w:tcPr>
            <w:tcW w:w="1052"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4,8</w:t>
            </w:r>
          </w:p>
        </w:tc>
        <w:tc>
          <w:tcPr>
            <w:tcW w:w="593" w:type="dxa"/>
            <w:tcBorders>
              <w:top w:val="nil"/>
              <w:left w:val="nil"/>
              <w:bottom w:val="single" w:sz="4" w:space="0" w:color="auto"/>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1314</w:t>
            </w:r>
          </w:p>
        </w:tc>
        <w:tc>
          <w:tcPr>
            <w:tcW w:w="676"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79,7</w:t>
            </w:r>
          </w:p>
        </w:tc>
        <w:tc>
          <w:tcPr>
            <w:tcW w:w="1032"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6,0</w:t>
            </w:r>
          </w:p>
        </w:tc>
        <w:tc>
          <w:tcPr>
            <w:tcW w:w="702" w:type="dxa"/>
            <w:tcBorders>
              <w:top w:val="nil"/>
              <w:left w:val="nil"/>
              <w:bottom w:val="single" w:sz="4" w:space="0" w:color="auto"/>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8 062</w:t>
            </w:r>
          </w:p>
        </w:tc>
      </w:tr>
      <w:tr w:rsidR="00B446D0" w:rsidRPr="0022374B" w:rsidTr="00CD18E4">
        <w:trPr>
          <w:trHeight w:val="255"/>
          <w:jc w:val="center"/>
        </w:trPr>
        <w:tc>
          <w:tcPr>
            <w:tcW w:w="9069" w:type="dxa"/>
            <w:gridSpan w:val="10"/>
            <w:tcBorders>
              <w:top w:val="single" w:sz="4" w:space="0" w:color="auto"/>
              <w:left w:val="single" w:sz="4" w:space="0" w:color="auto"/>
              <w:bottom w:val="single" w:sz="4" w:space="0" w:color="auto"/>
              <w:right w:val="single" w:sz="4" w:space="0" w:color="auto"/>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bCs/>
              </w:rPr>
            </w:pPr>
            <w:r w:rsidRPr="0022374B">
              <w:rPr>
                <w:rFonts w:ascii="Times New Roman" w:hAnsi="Times New Roman" w:cs="Times New Roman"/>
                <w:bCs/>
              </w:rPr>
              <w:t>Instruction</w:t>
            </w:r>
          </w:p>
        </w:tc>
      </w:tr>
      <w:tr w:rsidR="00B446D0" w:rsidRPr="0022374B" w:rsidTr="00CD18E4">
        <w:trPr>
          <w:trHeight w:val="255"/>
          <w:jc w:val="center"/>
        </w:trPr>
        <w:tc>
          <w:tcPr>
            <w:tcW w:w="1236" w:type="dxa"/>
            <w:tcBorders>
              <w:top w:val="single" w:sz="4" w:space="0" w:color="auto"/>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Aucune</w:t>
            </w:r>
          </w:p>
        </w:tc>
        <w:tc>
          <w:tcPr>
            <w:tcW w:w="1313" w:type="dxa"/>
            <w:tcBorders>
              <w:top w:val="single" w:sz="4" w:space="0" w:color="auto"/>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32,2</w:t>
            </w:r>
          </w:p>
        </w:tc>
        <w:tc>
          <w:tcPr>
            <w:tcW w:w="1061" w:type="dxa"/>
            <w:tcBorders>
              <w:top w:val="single" w:sz="4" w:space="0" w:color="auto"/>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3,0</w:t>
            </w:r>
          </w:p>
        </w:tc>
        <w:tc>
          <w:tcPr>
            <w:tcW w:w="653" w:type="dxa"/>
            <w:tcBorders>
              <w:top w:val="single" w:sz="4" w:space="0" w:color="auto"/>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764</w:t>
            </w:r>
          </w:p>
        </w:tc>
        <w:tc>
          <w:tcPr>
            <w:tcW w:w="751"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85,5</w:t>
            </w:r>
          </w:p>
        </w:tc>
        <w:tc>
          <w:tcPr>
            <w:tcW w:w="1052"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w:t>
            </w:r>
          </w:p>
        </w:tc>
        <w:tc>
          <w:tcPr>
            <w:tcW w:w="593" w:type="dxa"/>
            <w:tcBorders>
              <w:top w:val="single" w:sz="4" w:space="0" w:color="auto"/>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1069</w:t>
            </w:r>
          </w:p>
        </w:tc>
        <w:tc>
          <w:tcPr>
            <w:tcW w:w="676"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90,3</w:t>
            </w:r>
          </w:p>
        </w:tc>
        <w:tc>
          <w:tcPr>
            <w:tcW w:w="1032" w:type="dxa"/>
            <w:tcBorders>
              <w:top w:val="single" w:sz="4" w:space="0" w:color="auto"/>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w:t>
            </w:r>
          </w:p>
        </w:tc>
        <w:tc>
          <w:tcPr>
            <w:tcW w:w="702" w:type="dxa"/>
            <w:tcBorders>
              <w:top w:val="single" w:sz="4" w:space="0" w:color="auto"/>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8 344</w:t>
            </w:r>
          </w:p>
        </w:tc>
      </w:tr>
      <w:tr w:rsidR="00B446D0" w:rsidRPr="0022374B" w:rsidTr="00CD18E4">
        <w:trPr>
          <w:trHeight w:val="255"/>
          <w:jc w:val="center"/>
        </w:trPr>
        <w:tc>
          <w:tcPr>
            <w:tcW w:w="1236" w:type="dxa"/>
            <w:tcBorders>
              <w:top w:val="nil"/>
              <w:left w:val="single" w:sz="4" w:space="0" w:color="auto"/>
              <w:bottom w:val="nil"/>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Primaire</w:t>
            </w:r>
          </w:p>
        </w:tc>
        <w:tc>
          <w:tcPr>
            <w:tcW w:w="1313"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18,3</w:t>
            </w:r>
          </w:p>
        </w:tc>
        <w:tc>
          <w:tcPr>
            <w:tcW w:w="1061" w:type="dxa"/>
            <w:tcBorders>
              <w:top w:val="nil"/>
              <w:left w:val="nil"/>
              <w:bottom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1,8</w:t>
            </w:r>
          </w:p>
        </w:tc>
        <w:tc>
          <w:tcPr>
            <w:tcW w:w="653" w:type="dxa"/>
            <w:tcBorders>
              <w:top w:val="nil"/>
              <w:left w:val="nil"/>
              <w:bottom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856</w:t>
            </w:r>
          </w:p>
        </w:tc>
        <w:tc>
          <w:tcPr>
            <w:tcW w:w="751"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74,7</w:t>
            </w:r>
          </w:p>
        </w:tc>
        <w:tc>
          <w:tcPr>
            <w:tcW w:w="105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2,5</w:t>
            </w:r>
          </w:p>
        </w:tc>
        <w:tc>
          <w:tcPr>
            <w:tcW w:w="593" w:type="dxa"/>
            <w:tcBorders>
              <w:top w:val="nil"/>
              <w:left w:val="nil"/>
              <w:bottom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654</w:t>
            </w:r>
          </w:p>
        </w:tc>
        <w:tc>
          <w:tcPr>
            <w:tcW w:w="676"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74,0</w:t>
            </w:r>
          </w:p>
        </w:tc>
        <w:tc>
          <w:tcPr>
            <w:tcW w:w="1032" w:type="dxa"/>
            <w:tcBorders>
              <w:top w:val="nil"/>
              <w:left w:val="nil"/>
              <w:bottom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2,7</w:t>
            </w:r>
          </w:p>
        </w:tc>
        <w:tc>
          <w:tcPr>
            <w:tcW w:w="702" w:type="dxa"/>
            <w:tcBorders>
              <w:top w:val="nil"/>
              <w:left w:val="nil"/>
              <w:bottom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3 569</w:t>
            </w:r>
          </w:p>
        </w:tc>
      </w:tr>
      <w:tr w:rsidR="00B446D0" w:rsidRPr="0022374B" w:rsidTr="00CD18E4">
        <w:trPr>
          <w:trHeight w:val="255"/>
          <w:jc w:val="center"/>
        </w:trPr>
        <w:tc>
          <w:tcPr>
            <w:tcW w:w="1236" w:type="dxa"/>
            <w:tcBorders>
              <w:top w:val="nil"/>
              <w:left w:val="single" w:sz="4" w:space="0" w:color="auto"/>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Second. 1</w:t>
            </w:r>
          </w:p>
        </w:tc>
        <w:tc>
          <w:tcPr>
            <w:tcW w:w="1313" w:type="dxa"/>
            <w:tcBorders>
              <w:top w:val="nil"/>
              <w:left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10,7</w:t>
            </w:r>
          </w:p>
        </w:tc>
        <w:tc>
          <w:tcPr>
            <w:tcW w:w="1061" w:type="dxa"/>
            <w:tcBorders>
              <w:top w:val="nil"/>
              <w:left w:val="nil"/>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0,8</w:t>
            </w:r>
          </w:p>
        </w:tc>
        <w:tc>
          <w:tcPr>
            <w:tcW w:w="653" w:type="dxa"/>
            <w:tcBorders>
              <w:top w:val="nil"/>
              <w:left w:val="nil"/>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1 172</w:t>
            </w:r>
          </w:p>
        </w:tc>
        <w:tc>
          <w:tcPr>
            <w:tcW w:w="751" w:type="dxa"/>
            <w:tcBorders>
              <w:top w:val="nil"/>
              <w:left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61,5</w:t>
            </w:r>
          </w:p>
        </w:tc>
        <w:tc>
          <w:tcPr>
            <w:tcW w:w="1052" w:type="dxa"/>
            <w:tcBorders>
              <w:top w:val="nil"/>
              <w:left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w:t>
            </w:r>
          </w:p>
        </w:tc>
        <w:tc>
          <w:tcPr>
            <w:tcW w:w="593" w:type="dxa"/>
            <w:tcBorders>
              <w:top w:val="nil"/>
              <w:left w:val="nil"/>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603</w:t>
            </w:r>
          </w:p>
        </w:tc>
        <w:tc>
          <w:tcPr>
            <w:tcW w:w="676" w:type="dxa"/>
            <w:tcBorders>
              <w:top w:val="nil"/>
              <w:left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48,1</w:t>
            </w:r>
          </w:p>
        </w:tc>
        <w:tc>
          <w:tcPr>
            <w:tcW w:w="1032" w:type="dxa"/>
            <w:tcBorders>
              <w:top w:val="nil"/>
              <w:left w:val="nil"/>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0,8</w:t>
            </w:r>
          </w:p>
        </w:tc>
        <w:tc>
          <w:tcPr>
            <w:tcW w:w="702" w:type="dxa"/>
            <w:tcBorders>
              <w:top w:val="nil"/>
              <w:left w:val="nil"/>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2 590</w:t>
            </w:r>
          </w:p>
        </w:tc>
      </w:tr>
      <w:tr w:rsidR="00B446D0" w:rsidRPr="0022374B" w:rsidTr="00CD18E4">
        <w:trPr>
          <w:trHeight w:val="431"/>
          <w:jc w:val="center"/>
        </w:trPr>
        <w:tc>
          <w:tcPr>
            <w:tcW w:w="1236" w:type="dxa"/>
            <w:tcBorders>
              <w:top w:val="nil"/>
              <w:left w:val="single" w:sz="4" w:space="0" w:color="auto"/>
              <w:bottom w:val="single" w:sz="4" w:space="0" w:color="auto"/>
              <w:right w:val="nil"/>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Sec.2 ou +</w:t>
            </w:r>
          </w:p>
        </w:tc>
        <w:tc>
          <w:tcPr>
            <w:tcW w:w="1313"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4,1</w:t>
            </w:r>
          </w:p>
        </w:tc>
        <w:tc>
          <w:tcPr>
            <w:tcW w:w="1061" w:type="dxa"/>
            <w:tcBorders>
              <w:top w:val="nil"/>
              <w:left w:val="nil"/>
              <w:bottom w:val="single" w:sz="4" w:space="0" w:color="auto"/>
              <w:right w:val="nil"/>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0,1</w:t>
            </w:r>
          </w:p>
        </w:tc>
        <w:tc>
          <w:tcPr>
            <w:tcW w:w="653" w:type="dxa"/>
            <w:tcBorders>
              <w:top w:val="nil"/>
              <w:left w:val="nil"/>
              <w:bottom w:val="single" w:sz="4" w:space="0" w:color="auto"/>
              <w:right w:val="single" w:sz="4" w:space="0" w:color="auto"/>
            </w:tcBorders>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323</w:t>
            </w:r>
          </w:p>
        </w:tc>
        <w:tc>
          <w:tcPr>
            <w:tcW w:w="751"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23,7</w:t>
            </w:r>
          </w:p>
        </w:tc>
        <w:tc>
          <w:tcPr>
            <w:tcW w:w="1052"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593" w:type="dxa"/>
            <w:tcBorders>
              <w:top w:val="nil"/>
              <w:left w:val="nil"/>
              <w:bottom w:val="single" w:sz="4" w:space="0" w:color="auto"/>
              <w:right w:val="single" w:sz="4" w:space="0" w:color="auto"/>
            </w:tcBorders>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440</w:t>
            </w:r>
          </w:p>
        </w:tc>
        <w:tc>
          <w:tcPr>
            <w:tcW w:w="676"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41,2</w:t>
            </w:r>
          </w:p>
        </w:tc>
        <w:tc>
          <w:tcPr>
            <w:tcW w:w="1032" w:type="dxa"/>
            <w:tcBorders>
              <w:top w:val="nil"/>
              <w:left w:val="nil"/>
              <w:bottom w:val="single" w:sz="4" w:space="0" w:color="auto"/>
              <w:right w:val="single" w:sz="4" w:space="0" w:color="auto"/>
            </w:tcBorders>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0,2</w:t>
            </w:r>
          </w:p>
        </w:tc>
        <w:tc>
          <w:tcPr>
            <w:tcW w:w="702" w:type="dxa"/>
            <w:tcBorders>
              <w:top w:val="nil"/>
              <w:left w:val="nil"/>
              <w:bottom w:val="single" w:sz="4" w:space="0" w:color="auto"/>
              <w:right w:val="single" w:sz="4" w:space="0" w:color="auto"/>
            </w:tcBorders>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1 313</w:t>
            </w:r>
          </w:p>
        </w:tc>
      </w:tr>
      <w:tr w:rsidR="00B446D0" w:rsidRPr="0022374B" w:rsidTr="00CD18E4">
        <w:trPr>
          <w:trHeight w:val="255"/>
          <w:jc w:val="center"/>
        </w:trPr>
        <w:tc>
          <w:tcPr>
            <w:tcW w:w="9069" w:type="dxa"/>
            <w:gridSpan w:val="10"/>
            <w:tcBorders>
              <w:top w:val="single" w:sz="4" w:space="0" w:color="auto"/>
              <w:left w:val="single" w:sz="4" w:space="0" w:color="auto"/>
              <w:bottom w:val="single" w:sz="4" w:space="0" w:color="auto"/>
              <w:right w:val="single" w:sz="4" w:space="0" w:color="auto"/>
            </w:tcBorders>
            <w:noWrap/>
            <w:vAlign w:val="center"/>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Indice de bien-être</w:t>
            </w:r>
          </w:p>
        </w:tc>
      </w:tr>
      <w:tr w:rsidR="00B446D0" w:rsidRPr="0022374B" w:rsidTr="00CD18E4">
        <w:trPr>
          <w:trHeight w:val="255"/>
          <w:jc w:val="center"/>
        </w:trPr>
        <w:tc>
          <w:tcPr>
            <w:tcW w:w="1236" w:type="dxa"/>
            <w:tcBorders>
              <w:top w:val="single" w:sz="4" w:space="0" w:color="auto"/>
              <w:left w:val="single" w:sz="4" w:space="0" w:color="auto"/>
              <w:bottom w:val="nil"/>
              <w:right w:val="nil"/>
            </w:tcBorders>
            <w:noWrap/>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lastRenderedPageBreak/>
              <w:t>Le plus pauvre</w:t>
            </w:r>
          </w:p>
        </w:tc>
        <w:tc>
          <w:tcPr>
            <w:tcW w:w="1313" w:type="dxa"/>
            <w:tcBorders>
              <w:top w:val="single" w:sz="4" w:space="0" w:color="auto"/>
              <w:left w:val="nil"/>
              <w:bottom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23,2</w:t>
            </w:r>
          </w:p>
        </w:tc>
        <w:tc>
          <w:tcPr>
            <w:tcW w:w="1061" w:type="dxa"/>
            <w:tcBorders>
              <w:top w:val="single" w:sz="4" w:space="0" w:color="auto"/>
              <w:left w:val="nil"/>
              <w:bottom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2,6</w:t>
            </w:r>
          </w:p>
        </w:tc>
        <w:tc>
          <w:tcPr>
            <w:tcW w:w="653" w:type="dxa"/>
            <w:tcBorders>
              <w:top w:val="single" w:sz="4" w:space="0" w:color="auto"/>
              <w:left w:val="nil"/>
              <w:bottom w:val="nil"/>
              <w:right w:val="single" w:sz="4" w:space="0" w:color="auto"/>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528</w:t>
            </w:r>
          </w:p>
        </w:tc>
        <w:tc>
          <w:tcPr>
            <w:tcW w:w="751" w:type="dxa"/>
            <w:tcBorders>
              <w:top w:val="single" w:sz="4" w:space="0" w:color="auto"/>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80,4</w:t>
            </w:r>
          </w:p>
        </w:tc>
        <w:tc>
          <w:tcPr>
            <w:tcW w:w="1052" w:type="dxa"/>
            <w:tcBorders>
              <w:top w:val="single" w:sz="4" w:space="0" w:color="auto"/>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8,8</w:t>
            </w:r>
          </w:p>
        </w:tc>
        <w:tc>
          <w:tcPr>
            <w:tcW w:w="593" w:type="dxa"/>
            <w:tcBorders>
              <w:top w:val="single" w:sz="4" w:space="0" w:color="auto"/>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411</w:t>
            </w:r>
          </w:p>
        </w:tc>
        <w:tc>
          <w:tcPr>
            <w:tcW w:w="676" w:type="dxa"/>
            <w:tcBorders>
              <w:top w:val="single" w:sz="4" w:space="0" w:color="auto"/>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81,3</w:t>
            </w:r>
          </w:p>
        </w:tc>
        <w:tc>
          <w:tcPr>
            <w:tcW w:w="1032" w:type="dxa"/>
            <w:tcBorders>
              <w:top w:val="single" w:sz="4" w:space="0" w:color="auto"/>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702" w:type="dxa"/>
            <w:tcBorders>
              <w:top w:val="single" w:sz="4" w:space="0" w:color="auto"/>
              <w:left w:val="nil"/>
              <w:bottom w:val="nil"/>
              <w:right w:val="single" w:sz="4" w:space="0" w:color="auto"/>
            </w:tcBorders>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2 793</w:t>
            </w:r>
          </w:p>
        </w:tc>
      </w:tr>
      <w:tr w:rsidR="00B446D0" w:rsidRPr="0022374B" w:rsidTr="00CD18E4">
        <w:trPr>
          <w:trHeight w:val="255"/>
          <w:jc w:val="center"/>
        </w:trPr>
        <w:tc>
          <w:tcPr>
            <w:tcW w:w="1236" w:type="dxa"/>
            <w:tcBorders>
              <w:top w:val="nil"/>
              <w:left w:val="single" w:sz="4" w:space="0" w:color="auto"/>
              <w:bottom w:val="nil"/>
              <w:right w:val="nil"/>
            </w:tcBorders>
            <w:noWrap/>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Second</w:t>
            </w:r>
          </w:p>
        </w:tc>
        <w:tc>
          <w:tcPr>
            <w:tcW w:w="1313" w:type="dxa"/>
            <w:tcBorders>
              <w:top w:val="nil"/>
              <w:left w:val="nil"/>
              <w:bottom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24,7</w:t>
            </w:r>
          </w:p>
        </w:tc>
        <w:tc>
          <w:tcPr>
            <w:tcW w:w="1061" w:type="dxa"/>
            <w:tcBorders>
              <w:top w:val="nil"/>
              <w:left w:val="nil"/>
              <w:bottom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2,8</w:t>
            </w:r>
          </w:p>
        </w:tc>
        <w:tc>
          <w:tcPr>
            <w:tcW w:w="653" w:type="dxa"/>
            <w:tcBorders>
              <w:top w:val="nil"/>
              <w:left w:val="nil"/>
              <w:bottom w:val="nil"/>
              <w:right w:val="single" w:sz="4" w:space="0" w:color="auto"/>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508</w:t>
            </w:r>
          </w:p>
        </w:tc>
        <w:tc>
          <w:tcPr>
            <w:tcW w:w="751"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83,2</w:t>
            </w:r>
          </w:p>
        </w:tc>
        <w:tc>
          <w:tcPr>
            <w:tcW w:w="1052"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8,0</w:t>
            </w:r>
          </w:p>
        </w:tc>
        <w:tc>
          <w:tcPr>
            <w:tcW w:w="593"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466</w:t>
            </w:r>
          </w:p>
        </w:tc>
        <w:tc>
          <w:tcPr>
            <w:tcW w:w="676"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82,2</w:t>
            </w:r>
          </w:p>
        </w:tc>
        <w:tc>
          <w:tcPr>
            <w:tcW w:w="1032"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6,7</w:t>
            </w:r>
          </w:p>
        </w:tc>
        <w:tc>
          <w:tcPr>
            <w:tcW w:w="702" w:type="dxa"/>
            <w:tcBorders>
              <w:top w:val="nil"/>
              <w:left w:val="nil"/>
              <w:bottom w:val="nil"/>
              <w:right w:val="single" w:sz="4" w:space="0" w:color="auto"/>
            </w:tcBorders>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2 790</w:t>
            </w:r>
          </w:p>
        </w:tc>
      </w:tr>
      <w:tr w:rsidR="00B446D0" w:rsidRPr="0022374B" w:rsidTr="00CD18E4">
        <w:trPr>
          <w:trHeight w:val="255"/>
          <w:jc w:val="center"/>
        </w:trPr>
        <w:tc>
          <w:tcPr>
            <w:tcW w:w="1236" w:type="dxa"/>
            <w:tcBorders>
              <w:top w:val="nil"/>
              <w:left w:val="single" w:sz="4" w:space="0" w:color="auto"/>
              <w:bottom w:val="nil"/>
              <w:right w:val="nil"/>
            </w:tcBorders>
            <w:noWrap/>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Moyen</w:t>
            </w:r>
          </w:p>
        </w:tc>
        <w:tc>
          <w:tcPr>
            <w:tcW w:w="1313" w:type="dxa"/>
            <w:tcBorders>
              <w:top w:val="nil"/>
              <w:left w:val="nil"/>
              <w:bottom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20,4</w:t>
            </w:r>
          </w:p>
        </w:tc>
        <w:tc>
          <w:tcPr>
            <w:tcW w:w="1061" w:type="dxa"/>
            <w:tcBorders>
              <w:top w:val="nil"/>
              <w:left w:val="nil"/>
              <w:bottom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2,0</w:t>
            </w:r>
          </w:p>
        </w:tc>
        <w:tc>
          <w:tcPr>
            <w:tcW w:w="653" w:type="dxa"/>
            <w:tcBorders>
              <w:top w:val="nil"/>
              <w:left w:val="nil"/>
              <w:bottom w:val="nil"/>
              <w:right w:val="single" w:sz="4" w:space="0" w:color="auto"/>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629</w:t>
            </w:r>
          </w:p>
        </w:tc>
        <w:tc>
          <w:tcPr>
            <w:tcW w:w="751"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73,5</w:t>
            </w:r>
          </w:p>
        </w:tc>
        <w:tc>
          <w:tcPr>
            <w:tcW w:w="1052"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1,9</w:t>
            </w:r>
          </w:p>
        </w:tc>
        <w:tc>
          <w:tcPr>
            <w:tcW w:w="593"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545</w:t>
            </w:r>
          </w:p>
        </w:tc>
        <w:tc>
          <w:tcPr>
            <w:tcW w:w="676"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77,5</w:t>
            </w:r>
          </w:p>
        </w:tc>
        <w:tc>
          <w:tcPr>
            <w:tcW w:w="1032" w:type="dxa"/>
            <w:tcBorders>
              <w:top w:val="nil"/>
              <w:left w:val="nil"/>
              <w:bottom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5,0</w:t>
            </w:r>
          </w:p>
        </w:tc>
        <w:tc>
          <w:tcPr>
            <w:tcW w:w="702" w:type="dxa"/>
            <w:tcBorders>
              <w:top w:val="nil"/>
              <w:left w:val="nil"/>
              <w:bottom w:val="nil"/>
              <w:right w:val="single" w:sz="4" w:space="0" w:color="auto"/>
            </w:tcBorders>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3 130</w:t>
            </w:r>
          </w:p>
        </w:tc>
      </w:tr>
      <w:tr w:rsidR="00B446D0" w:rsidRPr="0022374B" w:rsidTr="00CD18E4">
        <w:trPr>
          <w:trHeight w:val="255"/>
          <w:jc w:val="center"/>
        </w:trPr>
        <w:tc>
          <w:tcPr>
            <w:tcW w:w="1236" w:type="dxa"/>
            <w:tcBorders>
              <w:top w:val="nil"/>
              <w:left w:val="single" w:sz="4" w:space="0" w:color="auto"/>
              <w:right w:val="nil"/>
            </w:tcBorders>
            <w:noWrap/>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Quatrième</w:t>
            </w:r>
          </w:p>
        </w:tc>
        <w:tc>
          <w:tcPr>
            <w:tcW w:w="1313" w:type="dxa"/>
            <w:tcBorders>
              <w:top w:val="nil"/>
              <w:left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15,8</w:t>
            </w:r>
          </w:p>
        </w:tc>
        <w:tc>
          <w:tcPr>
            <w:tcW w:w="1061" w:type="dxa"/>
            <w:tcBorders>
              <w:top w:val="nil"/>
              <w:left w:val="nil"/>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1,0</w:t>
            </w:r>
          </w:p>
        </w:tc>
        <w:tc>
          <w:tcPr>
            <w:tcW w:w="653" w:type="dxa"/>
            <w:tcBorders>
              <w:top w:val="nil"/>
              <w:left w:val="nil"/>
              <w:right w:val="single" w:sz="4" w:space="0" w:color="auto"/>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666</w:t>
            </w:r>
          </w:p>
        </w:tc>
        <w:tc>
          <w:tcPr>
            <w:tcW w:w="751" w:type="dxa"/>
            <w:tcBorders>
              <w:top w:val="nil"/>
              <w:left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66,9</w:t>
            </w:r>
          </w:p>
        </w:tc>
        <w:tc>
          <w:tcPr>
            <w:tcW w:w="1052" w:type="dxa"/>
            <w:tcBorders>
              <w:top w:val="nil"/>
              <w:left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593" w:type="dxa"/>
            <w:tcBorders>
              <w:top w:val="nil"/>
              <w:left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618</w:t>
            </w:r>
          </w:p>
        </w:tc>
        <w:tc>
          <w:tcPr>
            <w:tcW w:w="676" w:type="dxa"/>
            <w:tcBorders>
              <w:top w:val="nil"/>
              <w:left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74,7</w:t>
            </w:r>
          </w:p>
        </w:tc>
        <w:tc>
          <w:tcPr>
            <w:tcW w:w="1032" w:type="dxa"/>
            <w:tcBorders>
              <w:top w:val="nil"/>
              <w:left w:val="nil"/>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3,5</w:t>
            </w:r>
          </w:p>
        </w:tc>
        <w:tc>
          <w:tcPr>
            <w:tcW w:w="702" w:type="dxa"/>
            <w:tcBorders>
              <w:top w:val="nil"/>
              <w:left w:val="nil"/>
              <w:right w:val="single" w:sz="4" w:space="0" w:color="auto"/>
            </w:tcBorders>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3 358</w:t>
            </w:r>
          </w:p>
        </w:tc>
      </w:tr>
      <w:tr w:rsidR="00B446D0" w:rsidRPr="0022374B" w:rsidTr="00CD18E4">
        <w:trPr>
          <w:trHeight w:val="255"/>
          <w:jc w:val="center"/>
        </w:trPr>
        <w:tc>
          <w:tcPr>
            <w:tcW w:w="1236" w:type="dxa"/>
            <w:tcBorders>
              <w:top w:val="nil"/>
              <w:left w:val="single" w:sz="4" w:space="0" w:color="auto"/>
              <w:bottom w:val="single" w:sz="4" w:space="0" w:color="auto"/>
              <w:right w:val="nil"/>
            </w:tcBorders>
            <w:noWrap/>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Le plus riche</w:t>
            </w:r>
          </w:p>
        </w:tc>
        <w:tc>
          <w:tcPr>
            <w:tcW w:w="1313" w:type="dxa"/>
            <w:tcBorders>
              <w:top w:val="nil"/>
              <w:left w:val="nil"/>
              <w:bottom w:val="single" w:sz="4" w:space="0" w:color="auto"/>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7,7</w:t>
            </w:r>
          </w:p>
        </w:tc>
        <w:tc>
          <w:tcPr>
            <w:tcW w:w="1061" w:type="dxa"/>
            <w:tcBorders>
              <w:top w:val="nil"/>
              <w:left w:val="nil"/>
              <w:bottom w:val="single" w:sz="4" w:space="0" w:color="auto"/>
              <w:right w:val="nil"/>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0,1</w:t>
            </w:r>
          </w:p>
        </w:tc>
        <w:tc>
          <w:tcPr>
            <w:tcW w:w="653" w:type="dxa"/>
            <w:tcBorders>
              <w:top w:val="nil"/>
              <w:left w:val="nil"/>
              <w:bottom w:val="single" w:sz="4" w:space="0" w:color="auto"/>
              <w:right w:val="single" w:sz="4" w:space="0" w:color="auto"/>
            </w:tcBorders>
          </w:tcPr>
          <w:p w:rsidR="00B446D0" w:rsidRPr="0022374B" w:rsidRDefault="00B446D0" w:rsidP="0022374B">
            <w:pPr>
              <w:pStyle w:val="Sansinterligne1"/>
              <w:widowControl w:val="0"/>
              <w:spacing w:before="120"/>
              <w:jc w:val="both"/>
              <w:rPr>
                <w:rFonts w:ascii="Times New Roman" w:hAnsi="Times New Roman" w:cs="Times New Roman"/>
              </w:rPr>
            </w:pPr>
            <w:r w:rsidRPr="0022374B">
              <w:rPr>
                <w:rFonts w:ascii="Times New Roman" w:hAnsi="Times New Roman" w:cs="Times New Roman"/>
              </w:rPr>
              <w:t>783</w:t>
            </w:r>
          </w:p>
        </w:tc>
        <w:tc>
          <w:tcPr>
            <w:tcW w:w="751" w:type="dxa"/>
            <w:tcBorders>
              <w:top w:val="nil"/>
              <w:left w:val="nil"/>
              <w:bottom w:val="single" w:sz="4" w:space="0" w:color="auto"/>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47,5</w:t>
            </w:r>
          </w:p>
        </w:tc>
        <w:tc>
          <w:tcPr>
            <w:tcW w:w="1052" w:type="dxa"/>
            <w:tcBorders>
              <w:top w:val="nil"/>
              <w:left w:val="nil"/>
              <w:bottom w:val="single" w:sz="4" w:space="0" w:color="auto"/>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1,4</w:t>
            </w:r>
          </w:p>
        </w:tc>
        <w:tc>
          <w:tcPr>
            <w:tcW w:w="593" w:type="dxa"/>
            <w:tcBorders>
              <w:top w:val="nil"/>
              <w:left w:val="nil"/>
              <w:bottom w:val="single" w:sz="4" w:space="0" w:color="auto"/>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726</w:t>
            </w:r>
          </w:p>
        </w:tc>
        <w:tc>
          <w:tcPr>
            <w:tcW w:w="676" w:type="dxa"/>
            <w:tcBorders>
              <w:top w:val="nil"/>
              <w:left w:val="nil"/>
              <w:bottom w:val="single" w:sz="4" w:space="0" w:color="auto"/>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65,8</w:t>
            </w:r>
          </w:p>
        </w:tc>
        <w:tc>
          <w:tcPr>
            <w:tcW w:w="1032" w:type="dxa"/>
            <w:tcBorders>
              <w:top w:val="nil"/>
              <w:left w:val="nil"/>
              <w:bottom w:val="single" w:sz="4" w:space="0" w:color="auto"/>
              <w:right w:val="single" w:sz="4" w:space="0" w:color="auto"/>
            </w:tcBorders>
          </w:tcPr>
          <w:p w:rsidR="00B446D0" w:rsidRPr="0022374B" w:rsidRDefault="00B446D0" w:rsidP="0022374B">
            <w:pPr>
              <w:spacing w:before="120"/>
              <w:jc w:val="both"/>
              <w:rPr>
                <w:rFonts w:ascii="Times New Roman" w:hAnsi="Times New Roman"/>
              </w:rPr>
            </w:pPr>
            <w:r w:rsidRPr="0022374B">
              <w:rPr>
                <w:rFonts w:ascii="Times New Roman" w:hAnsi="Times New Roman"/>
              </w:rPr>
              <w:t>1,4</w:t>
            </w:r>
          </w:p>
        </w:tc>
        <w:tc>
          <w:tcPr>
            <w:tcW w:w="702" w:type="dxa"/>
            <w:tcBorders>
              <w:top w:val="nil"/>
              <w:left w:val="nil"/>
              <w:bottom w:val="single" w:sz="4" w:space="0" w:color="auto"/>
              <w:right w:val="single" w:sz="4" w:space="0" w:color="auto"/>
            </w:tcBorders>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3 745</w:t>
            </w:r>
          </w:p>
        </w:tc>
      </w:tr>
    </w:tbl>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Adolescentes </w:t>
      </w:r>
    </w:p>
    <w:p w:rsidR="00B446D0" w:rsidRPr="0022374B" w:rsidRDefault="00B446D0" w:rsidP="0022374B">
      <w:pPr>
        <w:widowControl w:val="0"/>
        <w:spacing w:before="120"/>
        <w:jc w:val="both"/>
        <w:rPr>
          <w:rStyle w:val="2H"/>
          <w:rFonts w:ascii="Times New Roman" w:hAnsi="Times New Roman"/>
          <w:b w:val="0"/>
          <w:bCs/>
          <w:iCs/>
          <w:szCs w:val="24"/>
        </w:rPr>
      </w:pPr>
      <w:r w:rsidRPr="0022374B">
        <w:rPr>
          <w:rFonts w:ascii="Times New Roman" w:hAnsi="Times New Roman"/>
          <w:sz w:val="24"/>
          <w:szCs w:val="24"/>
        </w:rPr>
        <w:t xml:space="preserve">Les adolescentes des départements de Borgou, Alibori, Donga et Plateau sont plus nombreuses que les autres à avoir commencé leur vie féconde : entre 20 et 30 %, contre moins de 2 sur 10 ailleurs et à peine 7,9 % dans le département du Littoral. </w:t>
      </w:r>
      <w:r w:rsidRPr="0022374B">
        <w:rPr>
          <w:rStyle w:val="2H"/>
          <w:rFonts w:ascii="Times New Roman" w:hAnsi="Times New Roman"/>
          <w:b w:val="0"/>
          <w:iCs/>
          <w:szCs w:val="24"/>
        </w:rPr>
        <w:t>Vivre en milieu rural, être analphabète, appartenir à un ménage pauvre jouent dans le même sens d’une entrée en union précoce, qui contrastent de manière très marquée avec les caractéristiques socio démographiques opposées : elles sont deux fois plus fréquentes qu’en milieu urbain, huit fois plus que parmi les femmes les plus instruites, trois fois plus que dans les ménages les plus riches.</w:t>
      </w:r>
    </w:p>
    <w:p w:rsidR="00B446D0" w:rsidRPr="0022374B" w:rsidRDefault="00B446D0" w:rsidP="0022374B">
      <w:pPr>
        <w:widowControl w:val="0"/>
        <w:spacing w:before="120"/>
        <w:jc w:val="both"/>
        <w:rPr>
          <w:rStyle w:val="2H"/>
          <w:rFonts w:ascii="Times New Roman" w:hAnsi="Times New Roman"/>
          <w:b w:val="0"/>
          <w:bCs/>
          <w:iCs/>
          <w:szCs w:val="24"/>
        </w:rPr>
      </w:pPr>
      <w:r w:rsidRPr="0022374B">
        <w:rPr>
          <w:rStyle w:val="2H"/>
          <w:rFonts w:ascii="Times New Roman" w:hAnsi="Times New Roman"/>
          <w:b w:val="0"/>
          <w:iCs/>
          <w:szCs w:val="24"/>
        </w:rPr>
        <w:t xml:space="preserve"> Le même constat s’impose pour les grossesses survenues avant 15 ans. Mais les adolescentes ayant eu une grossesse précoce étant beaucoup moins nombreuses, les écarts s’observent sur des pourcentages bien plus faibles. Ils sont néanmoins significatifs. Ainsi, c</w:t>
      </w:r>
      <w:r w:rsidRPr="0022374B">
        <w:rPr>
          <w:rFonts w:ascii="Times New Roman" w:hAnsi="Times New Roman"/>
          <w:sz w:val="24"/>
          <w:szCs w:val="24"/>
        </w:rPr>
        <w:t xml:space="preserve">omparativement aux autres départements, celui du Borgou enregistre la proportion la plus élevée des femmes de 15-19 ans ayant eu une naissance vivante avant 15 ans (5 %) suivi de près du département de la Donga (4 %), contre à peine 0,2 % dans le Littoral. De même, </w:t>
      </w:r>
      <w:r w:rsidRPr="0022374B">
        <w:rPr>
          <w:rStyle w:val="2H"/>
          <w:rFonts w:ascii="Times New Roman" w:hAnsi="Times New Roman"/>
          <w:b w:val="0"/>
          <w:iCs/>
          <w:szCs w:val="24"/>
        </w:rPr>
        <w:t>on compte par exemple 0,8 grossesses précoces en milieu urbain contre 2,3 % en milieu rural.</w:t>
      </w:r>
    </w:p>
    <w:p w:rsidR="00B446D0" w:rsidRPr="0022374B" w:rsidRDefault="00B446D0" w:rsidP="0022374B">
      <w:pPr>
        <w:widowControl w:val="0"/>
        <w:spacing w:before="120"/>
        <w:jc w:val="both"/>
        <w:rPr>
          <w:rStyle w:val="2H"/>
          <w:rFonts w:ascii="Times New Roman" w:hAnsi="Times New Roman"/>
          <w:bCs/>
          <w:iCs/>
          <w:szCs w:val="24"/>
        </w:rPr>
      </w:pPr>
    </w:p>
    <w:p w:rsidR="00B446D0" w:rsidRPr="0022374B" w:rsidRDefault="00B446D0" w:rsidP="0022374B">
      <w:pPr>
        <w:widowControl w:val="0"/>
        <w:spacing w:before="120"/>
        <w:jc w:val="both"/>
        <w:rPr>
          <w:rStyle w:val="2H"/>
          <w:rFonts w:ascii="Times New Roman" w:hAnsi="Times New Roman"/>
          <w:bCs/>
          <w:iCs/>
          <w:szCs w:val="24"/>
        </w:rPr>
      </w:pPr>
      <w:r w:rsidRPr="0022374B">
        <w:rPr>
          <w:rStyle w:val="2H"/>
          <w:rFonts w:ascii="Times New Roman" w:hAnsi="Times New Roman"/>
          <w:iCs/>
          <w:szCs w:val="24"/>
        </w:rPr>
        <w:t xml:space="preserve">Jeunes adultes et ensemble des femmes </w:t>
      </w:r>
    </w:p>
    <w:p w:rsidR="00B446D0" w:rsidRPr="0022374B" w:rsidRDefault="00B446D0" w:rsidP="0022374B">
      <w:pPr>
        <w:widowControl w:val="0"/>
        <w:spacing w:before="120"/>
        <w:jc w:val="both"/>
        <w:rPr>
          <w:rStyle w:val="2H"/>
          <w:rFonts w:ascii="Times New Roman" w:hAnsi="Times New Roman"/>
          <w:b w:val="0"/>
          <w:bCs/>
          <w:iCs/>
          <w:szCs w:val="24"/>
        </w:rPr>
      </w:pPr>
      <w:r w:rsidRPr="0022374B">
        <w:rPr>
          <w:rStyle w:val="2H"/>
          <w:rFonts w:ascii="Times New Roman" w:hAnsi="Times New Roman"/>
          <w:b w:val="0"/>
          <w:iCs/>
          <w:szCs w:val="24"/>
        </w:rPr>
        <w:t>Les proportions de jeunes adultes et de femmes de tous âges entrées en union sont plus fortes, pour les raisons évoquées plus haut : l’entrée en union se généralise l’âge avançant et mécaniquement les écarts entre catégories s’estompent. Les chiffres n’appellent donc pas de commentaires spécifiques.</w:t>
      </w:r>
    </w:p>
    <w:p w:rsidR="00B446D0" w:rsidRPr="0022374B" w:rsidRDefault="00B446D0" w:rsidP="0022374B">
      <w:pPr>
        <w:widowControl w:val="0"/>
        <w:spacing w:before="120"/>
        <w:jc w:val="both"/>
        <w:rPr>
          <w:rStyle w:val="2H"/>
          <w:rFonts w:ascii="Times New Roman" w:hAnsi="Times New Roman"/>
          <w:b w:val="0"/>
          <w:bCs/>
          <w:iCs/>
          <w:szCs w:val="24"/>
        </w:rPr>
      </w:pPr>
      <w:r w:rsidRPr="0022374B">
        <w:rPr>
          <w:rStyle w:val="2H"/>
          <w:rFonts w:ascii="Times New Roman" w:hAnsi="Times New Roman"/>
          <w:b w:val="0"/>
          <w:iCs/>
          <w:szCs w:val="24"/>
        </w:rPr>
        <w:t xml:space="preserve"> Les proportions de grossesses précoces méritent au contraire d’être analysées. Un fait majeur apparaît. Presque toujours les pourcentages sont plus forts que pour les adolescentes. Une conclusion s’impose Sauf à supposer des sous-déclarations systématiques parmi les adolescentes, les chiffres suggèrent un net recul de ce comportement dans ce groupe, qui pourrait s’interpréter comme une rupture par rapport aux jeunes adultes et aux autres cohortes. Plusieurs hypothèses peuvent être avancées, qui renvoie à une logique de moindre prise de risque : meilleure conscience des risques de grossesses liées à une sexualité occasionnelle accompagnée d’une moindre fréquence des relations sexuelles précoces, utilisation plus fréquente de la contraception ou des avortements plus fréquents. </w:t>
      </w:r>
    </w:p>
    <w:p w:rsidR="00B446D0" w:rsidRPr="0022374B" w:rsidRDefault="00B446D0" w:rsidP="0022374B">
      <w:pPr>
        <w:pStyle w:val="Corpsdetexte"/>
        <w:tabs>
          <w:tab w:val="left" w:pos="720"/>
        </w:tabs>
        <w:spacing w:before="120" w:after="0"/>
        <w:jc w:val="both"/>
        <w:rPr>
          <w:rFonts w:ascii="Times New Roman" w:hAnsi="Times New Roman"/>
          <w:b/>
          <w:sz w:val="24"/>
          <w:szCs w:val="24"/>
        </w:rPr>
      </w:pPr>
    </w:p>
    <w:p w:rsidR="00B446D0" w:rsidRPr="0022374B" w:rsidRDefault="00940B84" w:rsidP="00940B84">
      <w:pPr>
        <w:pStyle w:val="Corpsdetexte"/>
        <w:widowControl w:val="0"/>
        <w:pBdr>
          <w:top w:val="single" w:sz="4" w:space="1" w:color="auto"/>
          <w:left w:val="single" w:sz="4" w:space="4" w:color="auto"/>
          <w:bottom w:val="single" w:sz="4" w:space="1" w:color="auto"/>
          <w:right w:val="single" w:sz="4" w:space="4" w:color="auto"/>
        </w:pBdr>
        <w:tabs>
          <w:tab w:val="left" w:pos="720"/>
        </w:tabs>
        <w:spacing w:before="120" w:after="0"/>
        <w:ind w:left="360"/>
        <w:jc w:val="both"/>
        <w:rPr>
          <w:rFonts w:ascii="Times New Roman" w:hAnsi="Times New Roman"/>
          <w:b/>
          <w:sz w:val="24"/>
          <w:szCs w:val="24"/>
        </w:rPr>
      </w:pPr>
      <w:r>
        <w:rPr>
          <w:rFonts w:ascii="Times New Roman" w:hAnsi="Times New Roman"/>
          <w:b/>
          <w:sz w:val="24"/>
          <w:szCs w:val="24"/>
        </w:rPr>
        <w:t xml:space="preserve">2. </w:t>
      </w:r>
      <w:r w:rsidR="00B446D0" w:rsidRPr="0022374B">
        <w:rPr>
          <w:rFonts w:ascii="Times New Roman" w:hAnsi="Times New Roman"/>
          <w:b/>
          <w:sz w:val="24"/>
          <w:szCs w:val="24"/>
        </w:rPr>
        <w:t xml:space="preserve">SOINS PRENATALS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lastRenderedPageBreak/>
        <w:t xml:space="preserve">L’OMS recommande au moins quatre visites prénatales : la première avant le quatrième mois de grossesse, la seconde à six mois de grossesse, la troisième entre les septième et huitième mois, et la dernière visite doit être réalisée à huit mois et demi de grossesse.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Ils offrent aux femmes enceintes la possibilité de bénéficier d’un certain nombre d’interventions essentielles et au développement du fœtus : vaccination antitétanique durant la grossesse, prévention et traitement du paludisme, prise en charge de l’anémie pendant la grossesse, traitement des infections sexuellement transmissibles. Toutes ces interventions peuvent améliorer considérablement les chances du fœtus de même que la santé maternelle.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Des indicateurs de couverture de soins prénatals (au moins une consultation auprès d’un prestataire qualifié et quatre visites ou plus auprès des prestataires) sont utilisés pour suivre les progrès vers l’objectif 5 du Millénaire pour le développement, à savoir « améliorer la santé maternelle ». </w:t>
      </w:r>
    </w:p>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Cependant certains tableaux du rapport n’ont pas été repris car les effectifs de femmes de 15-19 ans sont insuffisants. </w:t>
      </w:r>
    </w:p>
    <w:p w:rsidR="00B446D0" w:rsidRPr="0022374B" w:rsidRDefault="00B446D0" w:rsidP="0022374B">
      <w:pPr>
        <w:pStyle w:val="Corpsdetexte"/>
        <w:tabs>
          <w:tab w:val="left" w:pos="720"/>
        </w:tabs>
        <w:spacing w:before="120" w:after="0"/>
        <w:jc w:val="both"/>
        <w:rPr>
          <w:rFonts w:ascii="Times New Roman" w:hAnsi="Times New Roman"/>
          <w:b/>
          <w:bCs/>
          <w:sz w:val="24"/>
          <w:szCs w:val="24"/>
        </w:rPr>
      </w:pPr>
    </w:p>
    <w:p w:rsidR="00B446D0" w:rsidRPr="0022374B" w:rsidRDefault="00B446D0" w:rsidP="0022374B">
      <w:pPr>
        <w:pStyle w:val="Corpsdetexte"/>
        <w:tabs>
          <w:tab w:val="left" w:pos="720"/>
        </w:tabs>
        <w:spacing w:before="120" w:after="0"/>
        <w:jc w:val="both"/>
        <w:rPr>
          <w:rFonts w:ascii="Times New Roman" w:hAnsi="Times New Roman"/>
          <w:b/>
          <w:bCs/>
          <w:sz w:val="24"/>
          <w:szCs w:val="24"/>
        </w:rPr>
      </w:pPr>
      <w:r w:rsidRPr="0022374B">
        <w:rPr>
          <w:rFonts w:ascii="Times New Roman" w:hAnsi="Times New Roman"/>
          <w:b/>
          <w:bCs/>
          <w:sz w:val="24"/>
          <w:szCs w:val="24"/>
        </w:rPr>
        <w:t>2.1 Couverture des soins prénatals</w:t>
      </w:r>
    </w:p>
    <w:p w:rsidR="00B446D0" w:rsidRPr="0022374B" w:rsidRDefault="00B446D0" w:rsidP="0022374B">
      <w:pPr>
        <w:pStyle w:val="Corpsdetexte"/>
        <w:tabs>
          <w:tab w:val="left" w:pos="720"/>
        </w:tabs>
        <w:spacing w:before="120" w:after="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 tableau</w:t>
      </w:r>
      <w:r w:rsidRPr="0022374B">
        <w:rPr>
          <w:rStyle w:val="2H"/>
          <w:rFonts w:ascii="Times New Roman" w:hAnsi="Times New Roman"/>
          <w:szCs w:val="24"/>
        </w:rPr>
        <w:t> </w:t>
      </w:r>
      <w:r w:rsidRPr="0022374B">
        <w:rPr>
          <w:rFonts w:ascii="Times New Roman" w:hAnsi="Times New Roman"/>
          <w:sz w:val="24"/>
          <w:szCs w:val="24"/>
        </w:rPr>
        <w:t xml:space="preserve">RH.7 présente la répartition des adolescentes, des jeunes adultes et des femmes de 15-49 ans ayant eu une naissance vivante selon le type de personnel de santé qui a dispensé les soins prénatals pour la dernière naissance. Au cours de l’enquête, toutes les catégories de personnes consultées par la femme enceinte pendant la grossesse ont été enregistrées. Seule la personne la plus qualifiée est prise en compte dans le cas où plusieurs types de personnel de santé ont été cités. </w:t>
      </w:r>
    </w:p>
    <w:p w:rsidR="00B446D0" w:rsidRPr="0022374B" w:rsidRDefault="00B446D0" w:rsidP="008870D4">
      <w:pPr>
        <w:widowControl w:val="0"/>
        <w:spacing w:before="120"/>
        <w:jc w:val="center"/>
        <w:rPr>
          <w:rFonts w:ascii="Times New Roman" w:hAnsi="Times New Roman"/>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bCs/>
          <w:sz w:val="24"/>
          <w:szCs w:val="24"/>
        </w:rPr>
        <w:t>Tableau</w:t>
      </w:r>
      <w:r w:rsidRPr="0022374B">
        <w:rPr>
          <w:rFonts w:ascii="Times New Roman" w:hAnsi="Times New Roman"/>
          <w:b/>
          <w:sz w:val="24"/>
          <w:szCs w:val="24"/>
        </w:rPr>
        <w:t xml:space="preserve"> RH.7 </w:t>
      </w:r>
      <w:r w:rsidRPr="0022374B">
        <w:rPr>
          <w:rFonts w:ascii="Times New Roman" w:hAnsi="Times New Roman"/>
          <w:b/>
          <w:bCs/>
          <w:sz w:val="24"/>
          <w:szCs w:val="24"/>
        </w:rPr>
        <w:t>Couverture des soins prénatals</w:t>
      </w:r>
    </w:p>
    <w:p w:rsidR="00B446D0" w:rsidRPr="0022374B" w:rsidRDefault="00B446D0" w:rsidP="008870D4">
      <w:pPr>
        <w:widowControl w:val="0"/>
        <w:spacing w:before="120"/>
        <w:jc w:val="center"/>
        <w:rPr>
          <w:rFonts w:ascii="Times New Roman" w:hAnsi="Times New Roman"/>
          <w:sz w:val="24"/>
          <w:szCs w:val="24"/>
        </w:rPr>
      </w:pPr>
      <w:bookmarkStart w:id="2" w:name="OLE_LINK2"/>
      <w:bookmarkStart w:id="3" w:name="OLE_LINK3"/>
    </w:p>
    <w:p w:rsidR="00B446D0" w:rsidRPr="0022374B" w:rsidRDefault="00B446D0" w:rsidP="008870D4">
      <w:pPr>
        <w:widowControl w:val="0"/>
        <w:spacing w:before="120"/>
        <w:jc w:val="center"/>
        <w:rPr>
          <w:rFonts w:ascii="Times New Roman" w:hAnsi="Times New Roman"/>
          <w:sz w:val="24"/>
          <w:szCs w:val="24"/>
        </w:rPr>
      </w:pPr>
      <w:r w:rsidRPr="0022374B">
        <w:rPr>
          <w:rFonts w:ascii="Times New Roman" w:hAnsi="Times New Roman"/>
          <w:sz w:val="24"/>
          <w:szCs w:val="24"/>
        </w:rPr>
        <w:t xml:space="preserve">Pourcentage de Mères adolescentes (15-19 ans), de </w:t>
      </w:r>
      <w:r w:rsidRPr="0022374B">
        <w:rPr>
          <w:rFonts w:ascii="Times New Roman" w:hAnsi="Times New Roman"/>
          <w:bCs/>
          <w:sz w:val="24"/>
          <w:szCs w:val="24"/>
        </w:rPr>
        <w:t xml:space="preserve">Jeunes mères adultes </w:t>
      </w:r>
      <w:r w:rsidRPr="0022374B">
        <w:rPr>
          <w:rFonts w:ascii="Times New Roman" w:hAnsi="Times New Roman"/>
          <w:sz w:val="24"/>
          <w:szCs w:val="24"/>
        </w:rPr>
        <w:t>(20-24 ans) et de l’Ensemble des mères (15-49 ans) ayant eu une naissance vivante dans les 2 dernières années selon la personne qui a dispensé les soins prénatals pour la dernière naissance selon les caractéristiques socio-économiques.</w:t>
      </w:r>
    </w:p>
    <w:bookmarkEnd w:id="2"/>
    <w:bookmarkEnd w:id="3"/>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943"/>
        <w:gridCol w:w="20"/>
        <w:gridCol w:w="1082"/>
        <w:gridCol w:w="20"/>
        <w:gridCol w:w="577"/>
        <w:gridCol w:w="95"/>
        <w:gridCol w:w="13"/>
        <w:gridCol w:w="7"/>
        <w:gridCol w:w="923"/>
        <w:gridCol w:w="20"/>
        <w:gridCol w:w="20"/>
        <w:gridCol w:w="54"/>
        <w:gridCol w:w="894"/>
        <w:gridCol w:w="20"/>
        <w:gridCol w:w="57"/>
        <w:gridCol w:w="680"/>
        <w:gridCol w:w="832"/>
        <w:gridCol w:w="134"/>
        <w:gridCol w:w="911"/>
        <w:gridCol w:w="58"/>
        <w:gridCol w:w="663"/>
        <w:gridCol w:w="20"/>
      </w:tblGrid>
      <w:tr w:rsidR="00B446D0" w:rsidRPr="0022374B" w:rsidTr="00CD18E4">
        <w:trPr>
          <w:gridAfter w:val="1"/>
          <w:wAfter w:w="20" w:type="dxa"/>
          <w:trHeight w:val="142"/>
        </w:trPr>
        <w:tc>
          <w:tcPr>
            <w:tcW w:w="1346" w:type="dxa"/>
            <w:vAlign w:val="center"/>
          </w:tcPr>
          <w:p w:rsidR="00B446D0" w:rsidRPr="0022374B" w:rsidRDefault="00B446D0" w:rsidP="0022374B">
            <w:pPr>
              <w:widowControl w:val="0"/>
              <w:spacing w:before="120"/>
              <w:jc w:val="both"/>
              <w:rPr>
                <w:rFonts w:ascii="Times New Roman" w:hAnsi="Times New Roman"/>
                <w:b/>
                <w:bCs/>
              </w:rPr>
            </w:pPr>
          </w:p>
        </w:tc>
        <w:tc>
          <w:tcPr>
            <w:tcW w:w="2642" w:type="dxa"/>
            <w:gridSpan w:val="5"/>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Adolescentes</w:t>
            </w:r>
          </w:p>
        </w:tc>
        <w:tc>
          <w:tcPr>
            <w:tcW w:w="2783" w:type="dxa"/>
            <w:gridSpan w:val="11"/>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Jeunes mères</w:t>
            </w:r>
          </w:p>
        </w:tc>
        <w:tc>
          <w:tcPr>
            <w:tcW w:w="2597" w:type="dxa"/>
            <w:gridSpan w:val="5"/>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Ensemble des mères</w:t>
            </w:r>
          </w:p>
        </w:tc>
      </w:tr>
      <w:tr w:rsidR="00B446D0" w:rsidRPr="0022374B" w:rsidTr="00CD18E4">
        <w:trPr>
          <w:gridAfter w:val="1"/>
          <w:wAfter w:w="20" w:type="dxa"/>
          <w:trHeight w:val="142"/>
        </w:trPr>
        <w:tc>
          <w:tcPr>
            <w:tcW w:w="1346" w:type="dxa"/>
            <w:vAlign w:val="center"/>
          </w:tcPr>
          <w:p w:rsidR="00B446D0" w:rsidRPr="0022374B" w:rsidRDefault="00B446D0" w:rsidP="0022374B">
            <w:pPr>
              <w:widowControl w:val="0"/>
              <w:spacing w:before="120"/>
              <w:jc w:val="both"/>
              <w:rPr>
                <w:rFonts w:ascii="Times New Roman" w:hAnsi="Times New Roman"/>
                <w:b/>
                <w:bCs/>
              </w:rPr>
            </w:pPr>
          </w:p>
        </w:tc>
        <w:tc>
          <w:tcPr>
            <w:tcW w:w="94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Pas de soins prénatals</w:t>
            </w:r>
          </w:p>
        </w:tc>
        <w:tc>
          <w:tcPr>
            <w:tcW w:w="1102" w:type="dxa"/>
            <w:gridSpan w:val="2"/>
            <w:vAlign w:val="center"/>
          </w:tcPr>
          <w:p w:rsidR="00B446D0" w:rsidRPr="0022374B" w:rsidRDefault="00B446D0" w:rsidP="0022374B">
            <w:pPr>
              <w:widowControl w:val="0"/>
              <w:spacing w:before="120"/>
              <w:jc w:val="both"/>
              <w:rPr>
                <w:rFonts w:ascii="Times New Roman" w:hAnsi="Times New Roman"/>
                <w:b/>
                <w:bCs/>
              </w:rPr>
            </w:pPr>
            <w:r w:rsidRPr="0022374B">
              <w:rPr>
                <w:rFonts w:ascii="Times New Roman" w:hAnsi="Times New Roman"/>
              </w:rPr>
              <w:t>N'importe quel agent qualifié</w:t>
            </w:r>
            <w:r w:rsidRPr="0022374B">
              <w:rPr>
                <w:rFonts w:ascii="Times New Roman" w:hAnsi="Times New Roman"/>
                <w:vertAlign w:val="superscript"/>
              </w:rPr>
              <w:t>1</w:t>
            </w:r>
          </w:p>
        </w:tc>
        <w:tc>
          <w:tcPr>
            <w:tcW w:w="597"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1038"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Pas de soins prénatals</w:t>
            </w:r>
          </w:p>
        </w:tc>
        <w:tc>
          <w:tcPr>
            <w:tcW w:w="1065" w:type="dxa"/>
            <w:gridSpan w:val="6"/>
            <w:vAlign w:val="center"/>
          </w:tcPr>
          <w:p w:rsidR="00B446D0" w:rsidRPr="0022374B" w:rsidRDefault="00B446D0" w:rsidP="0022374B">
            <w:pPr>
              <w:widowControl w:val="0"/>
              <w:spacing w:before="120"/>
              <w:jc w:val="both"/>
              <w:rPr>
                <w:rFonts w:ascii="Times New Roman" w:hAnsi="Times New Roman"/>
                <w:b/>
                <w:bCs/>
              </w:rPr>
            </w:pPr>
            <w:r w:rsidRPr="0022374B">
              <w:rPr>
                <w:rFonts w:ascii="Times New Roman" w:hAnsi="Times New Roman"/>
              </w:rPr>
              <w:t>N'importe quel agent qualifié</w:t>
            </w:r>
            <w:r w:rsidRPr="0022374B">
              <w:rPr>
                <w:rFonts w:ascii="Times New Roman" w:hAnsi="Times New Roman"/>
                <w:vertAlign w:val="superscript"/>
              </w:rPr>
              <w:t>1</w:t>
            </w:r>
          </w:p>
        </w:tc>
        <w:tc>
          <w:tcPr>
            <w:tcW w:w="680"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966"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Pas de soins prénatals</w:t>
            </w:r>
          </w:p>
        </w:tc>
        <w:tc>
          <w:tcPr>
            <w:tcW w:w="969" w:type="dxa"/>
            <w:gridSpan w:val="2"/>
            <w:vAlign w:val="center"/>
          </w:tcPr>
          <w:p w:rsidR="00B446D0" w:rsidRPr="0022374B" w:rsidRDefault="00B446D0" w:rsidP="0022374B">
            <w:pPr>
              <w:widowControl w:val="0"/>
              <w:spacing w:before="120"/>
              <w:jc w:val="both"/>
              <w:rPr>
                <w:rFonts w:ascii="Times New Roman" w:hAnsi="Times New Roman"/>
                <w:b/>
                <w:bCs/>
              </w:rPr>
            </w:pPr>
            <w:r w:rsidRPr="0022374B">
              <w:rPr>
                <w:rFonts w:ascii="Times New Roman" w:hAnsi="Times New Roman"/>
              </w:rPr>
              <w:t>N'importe quel agent qualifié</w:t>
            </w:r>
            <w:r w:rsidRPr="0022374B">
              <w:rPr>
                <w:rFonts w:ascii="Times New Roman" w:hAnsi="Times New Roman"/>
                <w:vertAlign w:val="superscript"/>
              </w:rPr>
              <w:t>1</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r>
      <w:tr w:rsidR="00B446D0" w:rsidRPr="0022374B" w:rsidTr="00CD18E4">
        <w:trPr>
          <w:gridAfter w:val="1"/>
          <w:wAfter w:w="20" w:type="dxa"/>
          <w:trHeight w:val="142"/>
        </w:trPr>
        <w:tc>
          <w:tcPr>
            <w:tcW w:w="1346"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Total</w:t>
            </w:r>
          </w:p>
        </w:tc>
        <w:tc>
          <w:tcPr>
            <w:tcW w:w="943" w:type="dxa"/>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9,6</w:t>
            </w:r>
          </w:p>
        </w:tc>
        <w:tc>
          <w:tcPr>
            <w:tcW w:w="1102" w:type="dxa"/>
            <w:gridSpan w:val="2"/>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82.4</w:t>
            </w:r>
          </w:p>
        </w:tc>
        <w:tc>
          <w:tcPr>
            <w:tcW w:w="597" w:type="dxa"/>
            <w:gridSpan w:val="2"/>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369</w:t>
            </w:r>
          </w:p>
        </w:tc>
        <w:tc>
          <w:tcPr>
            <w:tcW w:w="1038" w:type="dxa"/>
            <w:gridSpan w:val="4"/>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6,4</w:t>
            </w:r>
          </w:p>
        </w:tc>
        <w:tc>
          <w:tcPr>
            <w:tcW w:w="1065" w:type="dxa"/>
            <w:gridSpan w:val="6"/>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84,5</w:t>
            </w:r>
          </w:p>
        </w:tc>
        <w:tc>
          <w:tcPr>
            <w:tcW w:w="680" w:type="dxa"/>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1260</w:t>
            </w:r>
          </w:p>
        </w:tc>
        <w:tc>
          <w:tcPr>
            <w:tcW w:w="966" w:type="dxa"/>
            <w:gridSpan w:val="2"/>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7,3</w:t>
            </w:r>
          </w:p>
        </w:tc>
        <w:tc>
          <w:tcPr>
            <w:tcW w:w="969" w:type="dxa"/>
            <w:gridSpan w:val="2"/>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82.8</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5388</w:t>
            </w:r>
          </w:p>
        </w:tc>
      </w:tr>
      <w:tr w:rsidR="00B446D0" w:rsidRPr="0022374B" w:rsidTr="00CD18E4">
        <w:trPr>
          <w:trHeight w:val="341"/>
        </w:trPr>
        <w:tc>
          <w:tcPr>
            <w:tcW w:w="9388" w:type="dxa"/>
            <w:gridSpan w:val="2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
                <w:bCs/>
              </w:rPr>
              <w:t>Département</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Alibori</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23,3</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70,4</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30</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16,3</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73,6</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86</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17,7</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71,8</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381</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Atacora</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8,7</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91,3</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34</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10,5</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86,9</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126</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13,1</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85,6</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466</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Atlantique</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43</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100</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160</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0,3</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97,8</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793</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Borgou</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21,8</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51,5</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21,9</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51,3</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155</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22,5</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49,7</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616</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Collines</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94,1</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4,7</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85,7</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4,5</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86,1</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387</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lastRenderedPageBreak/>
              <w:t>Couffo</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5,9</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86,6</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103</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2,7</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90,3</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497</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Donga</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10,3</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89,7</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20</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10,1</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88,6</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78</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15,3</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81,8</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276</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Littoral</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0,2</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67</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98,0</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301</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Mono</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5,1</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83,9</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86,1</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2,4</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80,8</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290</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Ouémé</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6,6</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81,0</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28</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94,2</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154</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89,5</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614</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Plateau</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12,7</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68,3</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68,3</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81</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5,7</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74,0</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351</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Zou</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89,0</w:t>
            </w:r>
          </w:p>
        </w:tc>
        <w:tc>
          <w:tcPr>
            <w:tcW w:w="59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32</w:t>
            </w:r>
          </w:p>
        </w:tc>
        <w:tc>
          <w:tcPr>
            <w:tcW w:w="1038"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1,8</w:t>
            </w:r>
          </w:p>
        </w:tc>
        <w:tc>
          <w:tcPr>
            <w:tcW w:w="1065" w:type="dxa"/>
            <w:gridSpan w:val="6"/>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91,1</w:t>
            </w:r>
          </w:p>
        </w:tc>
        <w:tc>
          <w:tcPr>
            <w:tcW w:w="68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96</w:t>
            </w:r>
          </w:p>
        </w:tc>
        <w:tc>
          <w:tcPr>
            <w:tcW w:w="96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2,8</w:t>
            </w:r>
          </w:p>
        </w:tc>
        <w:tc>
          <w:tcPr>
            <w:tcW w:w="969"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86,7</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416</w:t>
            </w:r>
          </w:p>
        </w:tc>
      </w:tr>
      <w:tr w:rsidR="00B446D0" w:rsidRPr="0022374B" w:rsidTr="00CD18E4">
        <w:trPr>
          <w:trHeight w:val="341"/>
        </w:trPr>
        <w:tc>
          <w:tcPr>
            <w:tcW w:w="9388" w:type="dxa"/>
            <w:gridSpan w:val="2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
                <w:bCs/>
              </w:rPr>
              <w:t>Milieu de résidence</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Urbain</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6,4</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96,2</w:t>
            </w:r>
          </w:p>
        </w:tc>
        <w:tc>
          <w:tcPr>
            <w:tcW w:w="692"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138</w:t>
            </w:r>
          </w:p>
        </w:tc>
        <w:tc>
          <w:tcPr>
            <w:tcW w:w="96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4,0</w:t>
            </w:r>
          </w:p>
        </w:tc>
        <w:tc>
          <w:tcPr>
            <w:tcW w:w="96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91,6</w:t>
            </w:r>
          </w:p>
        </w:tc>
        <w:tc>
          <w:tcPr>
            <w:tcW w:w="757" w:type="dxa"/>
            <w:gridSpan w:val="3"/>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547</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5,1</w:t>
            </w:r>
          </w:p>
        </w:tc>
        <w:tc>
          <w:tcPr>
            <w:tcW w:w="1103"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88,7</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2 331</w:t>
            </w:r>
          </w:p>
        </w:tc>
      </w:tr>
      <w:tr w:rsidR="00B446D0" w:rsidRPr="0022374B" w:rsidTr="00CD18E4">
        <w:trPr>
          <w:gridAfter w:val="1"/>
          <w:wAfter w:w="20"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Rural</w:t>
            </w:r>
          </w:p>
        </w:tc>
        <w:tc>
          <w:tcPr>
            <w:tcW w:w="94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11,5</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74,3</w:t>
            </w:r>
          </w:p>
        </w:tc>
        <w:tc>
          <w:tcPr>
            <w:tcW w:w="692"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231</w:t>
            </w:r>
          </w:p>
        </w:tc>
        <w:tc>
          <w:tcPr>
            <w:tcW w:w="96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8,2</w:t>
            </w:r>
          </w:p>
        </w:tc>
        <w:tc>
          <w:tcPr>
            <w:tcW w:w="96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79,0</w:t>
            </w:r>
          </w:p>
        </w:tc>
        <w:tc>
          <w:tcPr>
            <w:tcW w:w="757" w:type="dxa"/>
            <w:gridSpan w:val="3"/>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712</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8,9</w:t>
            </w:r>
          </w:p>
        </w:tc>
        <w:tc>
          <w:tcPr>
            <w:tcW w:w="1103"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78,3</w:t>
            </w:r>
          </w:p>
        </w:tc>
        <w:tc>
          <w:tcPr>
            <w:tcW w:w="66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3 057</w:t>
            </w:r>
          </w:p>
        </w:tc>
      </w:tr>
      <w:tr w:rsidR="00B446D0" w:rsidRPr="0022374B" w:rsidTr="00CD18E4">
        <w:trPr>
          <w:trHeight w:val="472"/>
        </w:trPr>
        <w:tc>
          <w:tcPr>
            <w:tcW w:w="9388" w:type="dxa"/>
            <w:gridSpan w:val="2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
                <w:bCs/>
              </w:rPr>
              <w:t>Instruction de la mère</w:t>
            </w:r>
          </w:p>
        </w:tc>
      </w:tr>
      <w:tr w:rsidR="00B446D0" w:rsidRPr="0022374B" w:rsidTr="00CD18E4">
        <w:trPr>
          <w:gridAfter w:val="1"/>
          <w:wAfter w:w="19"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Aucune</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16,9</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75,7</w:t>
            </w:r>
          </w:p>
        </w:tc>
        <w:tc>
          <w:tcPr>
            <w:tcW w:w="692"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166</w:t>
            </w:r>
          </w:p>
        </w:tc>
        <w:tc>
          <w:tcPr>
            <w:tcW w:w="963"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10,9</w:t>
            </w:r>
          </w:p>
        </w:tc>
        <w:tc>
          <w:tcPr>
            <w:tcW w:w="96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75,6</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624</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10,7</w:t>
            </w:r>
          </w:p>
        </w:tc>
        <w:tc>
          <w:tcPr>
            <w:tcW w:w="1103"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77,5</w:t>
            </w:r>
          </w:p>
        </w:tc>
        <w:tc>
          <w:tcPr>
            <w:tcW w:w="66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3 303</w:t>
            </w:r>
          </w:p>
        </w:tc>
      </w:tr>
      <w:tr w:rsidR="00B446D0" w:rsidRPr="0022374B" w:rsidTr="00CD18E4">
        <w:trPr>
          <w:gridAfter w:val="1"/>
          <w:wAfter w:w="19"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Primaire</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5,3</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84,2</w:t>
            </w:r>
          </w:p>
        </w:tc>
        <w:tc>
          <w:tcPr>
            <w:tcW w:w="692"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111</w:t>
            </w:r>
          </w:p>
        </w:tc>
        <w:tc>
          <w:tcPr>
            <w:tcW w:w="963"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2,8</w:t>
            </w:r>
          </w:p>
        </w:tc>
        <w:tc>
          <w:tcPr>
            <w:tcW w:w="96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88,8</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331</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2,5</w:t>
            </w:r>
          </w:p>
        </w:tc>
        <w:tc>
          <w:tcPr>
            <w:tcW w:w="1103"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89,6</w:t>
            </w:r>
          </w:p>
        </w:tc>
        <w:tc>
          <w:tcPr>
            <w:tcW w:w="66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1 251</w:t>
            </w:r>
          </w:p>
        </w:tc>
      </w:tr>
      <w:tr w:rsidR="00B446D0" w:rsidRPr="0022374B" w:rsidTr="00CD18E4">
        <w:trPr>
          <w:gridAfter w:val="1"/>
          <w:wAfter w:w="19"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 1</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1,7</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88,4</w:t>
            </w:r>
          </w:p>
        </w:tc>
        <w:tc>
          <w:tcPr>
            <w:tcW w:w="692"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963"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96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95,9</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245</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1,2</w:t>
            </w:r>
          </w:p>
        </w:tc>
        <w:tc>
          <w:tcPr>
            <w:tcW w:w="1103"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92,1</w:t>
            </w:r>
          </w:p>
        </w:tc>
        <w:tc>
          <w:tcPr>
            <w:tcW w:w="66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591</w:t>
            </w:r>
          </w:p>
        </w:tc>
      </w:tr>
      <w:tr w:rsidR="00B446D0" w:rsidRPr="0022374B" w:rsidTr="00CD18E4">
        <w:trPr>
          <w:gridAfter w:val="1"/>
          <w:wAfter w:w="19"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Sec.2 ou +</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692"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w:t>
            </w:r>
          </w:p>
        </w:tc>
        <w:tc>
          <w:tcPr>
            <w:tcW w:w="963"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96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60</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0,9</w:t>
            </w:r>
          </w:p>
        </w:tc>
        <w:tc>
          <w:tcPr>
            <w:tcW w:w="1103"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98,1</w:t>
            </w:r>
          </w:p>
        </w:tc>
        <w:tc>
          <w:tcPr>
            <w:tcW w:w="66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242</w:t>
            </w:r>
          </w:p>
        </w:tc>
      </w:tr>
      <w:tr w:rsidR="00B446D0" w:rsidRPr="0022374B" w:rsidTr="00CD18E4">
        <w:trPr>
          <w:trHeight w:val="341"/>
        </w:trPr>
        <w:tc>
          <w:tcPr>
            <w:tcW w:w="9388" w:type="dxa"/>
            <w:gridSpan w:val="2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
                <w:bCs/>
              </w:rPr>
              <w:t>Indice de bien-être économique</w:t>
            </w:r>
          </w:p>
        </w:tc>
      </w:tr>
      <w:tr w:rsidR="00B446D0" w:rsidRPr="0022374B" w:rsidTr="00CD18E4">
        <w:trPr>
          <w:gridAfter w:val="1"/>
          <w:wAfter w:w="19" w:type="dxa"/>
          <w:trHeight w:val="563"/>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pauvre</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19,4</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80,8</w:t>
            </w:r>
          </w:p>
        </w:tc>
        <w:tc>
          <w:tcPr>
            <w:tcW w:w="68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1024" w:type="dxa"/>
            <w:gridSpan w:val="5"/>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17,1</w:t>
            </w:r>
          </w:p>
        </w:tc>
        <w:tc>
          <w:tcPr>
            <w:tcW w:w="914"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70,2</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233</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20,8</w:t>
            </w:r>
          </w:p>
        </w:tc>
        <w:tc>
          <w:tcPr>
            <w:tcW w:w="104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68,6</w:t>
            </w:r>
          </w:p>
        </w:tc>
        <w:tc>
          <w:tcPr>
            <w:tcW w:w="721"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1 095</w:t>
            </w:r>
          </w:p>
        </w:tc>
      </w:tr>
      <w:tr w:rsidR="00B446D0" w:rsidRPr="0022374B" w:rsidTr="00CD18E4">
        <w:trPr>
          <w:gridAfter w:val="1"/>
          <w:wAfter w:w="19"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14,0</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74,6</w:t>
            </w:r>
          </w:p>
        </w:tc>
        <w:tc>
          <w:tcPr>
            <w:tcW w:w="68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w:t>
            </w:r>
          </w:p>
        </w:tc>
        <w:tc>
          <w:tcPr>
            <w:tcW w:w="1024" w:type="dxa"/>
            <w:gridSpan w:val="5"/>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w:t>
            </w:r>
          </w:p>
        </w:tc>
        <w:tc>
          <w:tcPr>
            <w:tcW w:w="914"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75,5</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277</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8,3</w:t>
            </w:r>
          </w:p>
        </w:tc>
        <w:tc>
          <w:tcPr>
            <w:tcW w:w="104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77,2</w:t>
            </w:r>
          </w:p>
        </w:tc>
        <w:tc>
          <w:tcPr>
            <w:tcW w:w="721"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1 127</w:t>
            </w:r>
          </w:p>
        </w:tc>
      </w:tr>
      <w:tr w:rsidR="00B446D0" w:rsidRPr="0022374B" w:rsidTr="00CD18E4">
        <w:trPr>
          <w:gridAfter w:val="1"/>
          <w:wAfter w:w="19"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Moyen</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74,2</w:t>
            </w:r>
          </w:p>
        </w:tc>
        <w:tc>
          <w:tcPr>
            <w:tcW w:w="68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w:t>
            </w:r>
          </w:p>
        </w:tc>
        <w:tc>
          <w:tcPr>
            <w:tcW w:w="1024" w:type="dxa"/>
            <w:gridSpan w:val="5"/>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3,8</w:t>
            </w:r>
          </w:p>
        </w:tc>
        <w:tc>
          <w:tcPr>
            <w:tcW w:w="914"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86,1</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269</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3,9</w:t>
            </w:r>
          </w:p>
        </w:tc>
        <w:tc>
          <w:tcPr>
            <w:tcW w:w="104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84,8</w:t>
            </w:r>
          </w:p>
        </w:tc>
        <w:tc>
          <w:tcPr>
            <w:tcW w:w="721"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1 095</w:t>
            </w:r>
          </w:p>
        </w:tc>
      </w:tr>
      <w:tr w:rsidR="00B446D0" w:rsidRPr="0022374B" w:rsidTr="00CD18E4">
        <w:trPr>
          <w:gridAfter w:val="1"/>
          <w:wAfter w:w="19" w:type="dxa"/>
          <w:trHeight w:val="341"/>
        </w:trPr>
        <w:tc>
          <w:tcPr>
            <w:tcW w:w="134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Quatrième</w:t>
            </w:r>
          </w:p>
        </w:tc>
        <w:tc>
          <w:tcPr>
            <w:tcW w:w="963"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0,1</w:t>
            </w:r>
          </w:p>
        </w:tc>
        <w:tc>
          <w:tcPr>
            <w:tcW w:w="1102"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91,0</w:t>
            </w:r>
          </w:p>
        </w:tc>
        <w:tc>
          <w:tcPr>
            <w:tcW w:w="68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w:t>
            </w:r>
          </w:p>
        </w:tc>
        <w:tc>
          <w:tcPr>
            <w:tcW w:w="1024" w:type="dxa"/>
            <w:gridSpan w:val="5"/>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w:t>
            </w:r>
          </w:p>
        </w:tc>
        <w:tc>
          <w:tcPr>
            <w:tcW w:w="914"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91,4</w:t>
            </w:r>
          </w:p>
        </w:tc>
        <w:tc>
          <w:tcPr>
            <w:tcW w:w="737"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270</w:t>
            </w:r>
          </w:p>
        </w:tc>
        <w:tc>
          <w:tcPr>
            <w:tcW w:w="83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1,4</w:t>
            </w:r>
          </w:p>
        </w:tc>
        <w:tc>
          <w:tcPr>
            <w:tcW w:w="104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88,7</w:t>
            </w:r>
          </w:p>
        </w:tc>
        <w:tc>
          <w:tcPr>
            <w:tcW w:w="721"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1 133</w:t>
            </w:r>
          </w:p>
        </w:tc>
      </w:tr>
      <w:tr w:rsidR="00B446D0" w:rsidRPr="0022374B" w:rsidTr="00CD18E4">
        <w:trPr>
          <w:gridAfter w:val="1"/>
          <w:wAfter w:w="19" w:type="dxa"/>
          <w:trHeight w:val="356"/>
        </w:trPr>
        <w:tc>
          <w:tcPr>
            <w:tcW w:w="1346" w:type="dxa"/>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riche</w:t>
            </w:r>
          </w:p>
        </w:tc>
        <w:tc>
          <w:tcPr>
            <w:tcW w:w="963" w:type="dxa"/>
            <w:gridSpan w:val="2"/>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1102" w:type="dxa"/>
            <w:gridSpan w:val="2"/>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685" w:type="dxa"/>
            <w:gridSpan w:val="3"/>
          </w:tcPr>
          <w:p w:rsidR="00B446D0" w:rsidRPr="0022374B" w:rsidRDefault="00B446D0" w:rsidP="0022374B">
            <w:pPr>
              <w:spacing w:before="120"/>
              <w:jc w:val="both"/>
              <w:rPr>
                <w:rFonts w:ascii="Times New Roman" w:hAnsi="Times New Roman"/>
              </w:rPr>
            </w:pPr>
            <w:r w:rsidRPr="0022374B">
              <w:rPr>
                <w:rFonts w:ascii="Times New Roman" w:hAnsi="Times New Roman"/>
              </w:rPr>
              <w:t>44</w:t>
            </w:r>
          </w:p>
        </w:tc>
        <w:tc>
          <w:tcPr>
            <w:tcW w:w="1024" w:type="dxa"/>
            <w:gridSpan w:val="5"/>
          </w:tcPr>
          <w:p w:rsidR="00B446D0" w:rsidRPr="0022374B" w:rsidRDefault="00B446D0" w:rsidP="0022374B">
            <w:pPr>
              <w:spacing w:before="120"/>
              <w:jc w:val="both"/>
              <w:rPr>
                <w:rFonts w:ascii="Times New Roman" w:hAnsi="Times New Roman"/>
              </w:rPr>
            </w:pPr>
            <w:r w:rsidRPr="0022374B">
              <w:rPr>
                <w:rFonts w:ascii="Times New Roman" w:hAnsi="Times New Roman"/>
              </w:rPr>
              <w:t>1,0</w:t>
            </w:r>
          </w:p>
        </w:tc>
        <w:tc>
          <w:tcPr>
            <w:tcW w:w="914" w:type="dxa"/>
            <w:gridSpan w:val="2"/>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737" w:type="dxa"/>
            <w:gridSpan w:val="2"/>
          </w:tcPr>
          <w:p w:rsidR="00B446D0" w:rsidRPr="0022374B" w:rsidRDefault="00B446D0" w:rsidP="0022374B">
            <w:pPr>
              <w:spacing w:before="120"/>
              <w:jc w:val="both"/>
              <w:rPr>
                <w:rFonts w:ascii="Times New Roman" w:hAnsi="Times New Roman"/>
              </w:rPr>
            </w:pPr>
            <w:r w:rsidRPr="0022374B">
              <w:rPr>
                <w:rFonts w:ascii="Times New Roman" w:hAnsi="Times New Roman"/>
              </w:rPr>
              <w:t>210</w:t>
            </w:r>
          </w:p>
        </w:tc>
        <w:tc>
          <w:tcPr>
            <w:tcW w:w="832" w:type="dxa"/>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1,4</w:t>
            </w:r>
          </w:p>
        </w:tc>
        <w:tc>
          <w:tcPr>
            <w:tcW w:w="1045" w:type="dxa"/>
            <w:gridSpan w:val="2"/>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96,6</w:t>
            </w:r>
          </w:p>
        </w:tc>
        <w:tc>
          <w:tcPr>
            <w:tcW w:w="721" w:type="dxa"/>
            <w:gridSpan w:val="2"/>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938</w:t>
            </w:r>
          </w:p>
        </w:tc>
      </w:tr>
    </w:tbl>
    <w:p w:rsidR="00B446D0" w:rsidRPr="0022374B" w:rsidRDefault="00B446D0" w:rsidP="0022374B">
      <w:pPr>
        <w:widowControl w:val="0"/>
        <w:spacing w:before="120"/>
        <w:jc w:val="both"/>
        <w:rPr>
          <w:rFonts w:ascii="Times New Roman" w:hAnsi="Times New Roman"/>
          <w:sz w:val="24"/>
          <w:szCs w:val="24"/>
        </w:rPr>
      </w:pPr>
      <w:r w:rsidRPr="0022374B">
        <w:rPr>
          <w:rStyle w:val="2H"/>
          <w:rFonts w:ascii="Times New Roman" w:hAnsi="Times New Roman"/>
          <w:b w:val="0"/>
          <w:iCs/>
          <w:szCs w:val="24"/>
        </w:rPr>
        <w:t>Le tableau montre que les adolescentes ont plus souvent que les femmes des deux autres groupes de femmes à n’avoir eu aucun soin prénatal ce qui suggère une vulnérabilité plus grande (9,6 contre 6,4 et 7,3 %), mais ceci n’est pas vrai du deuxième indicateur (82,4, 73,6 et 82,8 % respectivement). Il nous faut donc examiner plus en détail les résultats. Rappelons d’abord</w:t>
      </w:r>
      <w:r w:rsidRPr="0022374B">
        <w:rPr>
          <w:rFonts w:ascii="Times New Roman" w:hAnsi="Times New Roman"/>
          <w:sz w:val="24"/>
          <w:szCs w:val="24"/>
        </w:rPr>
        <w:t xml:space="preserve"> les principales analyses du rapport de la MICS 2014 relatives à l’ensemble des femmes.</w:t>
      </w:r>
    </w:p>
    <w:p w:rsidR="00B446D0" w:rsidRPr="0022374B" w:rsidRDefault="00B446D0" w:rsidP="0022374B">
      <w:pPr>
        <w:widowControl w:val="0"/>
        <w:spacing w:before="120"/>
        <w:jc w:val="both"/>
        <w:rPr>
          <w:rStyle w:val="2H"/>
          <w:rFonts w:ascii="Times New Roman" w:hAnsi="Times New Roman"/>
          <w:bCs/>
          <w:iCs/>
          <w:szCs w:val="24"/>
        </w:rPr>
      </w:pPr>
      <w:r w:rsidRPr="0022374B">
        <w:rPr>
          <w:rFonts w:ascii="Times New Roman" w:hAnsi="Times New Roman"/>
          <w:sz w:val="24"/>
          <w:szCs w:val="24"/>
        </w:rPr>
        <w:t xml:space="preserve"> </w:t>
      </w:r>
      <w:r w:rsidRPr="0022374B">
        <w:rPr>
          <w:rStyle w:val="2H"/>
          <w:rFonts w:ascii="Times New Roman" w:hAnsi="Times New Roman"/>
          <w:iCs/>
          <w:szCs w:val="24"/>
        </w:rPr>
        <w:t xml:space="preserve">Ensemble des femmes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 83 pour cent des femmes enceintes ont bénéficié de consultation prénatale dispensée par du personnel qualifié, à savoir médecins, infirmières ou sages-femmes. Ces consultations ont été principalement effectuées par les infirmières et sages-femmes (77 %) et dans très peu de cas par les médecins (6 %). Par ailleurs, 7 pour cent des femmes n’ont reçu aucun soin prénatal dont 11 pour cent parmi les femmes non instruites et 21 pour cent des femmes dont le ménage est classé dans le quintile le plus pauvre. Trois départements enregistrent des proportions élevées de femmes n’ayant pas fait de consultation prénatale : Borgou (23 %), Alibori (18 %) et Donga (15 %).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Cette proportion est plus élevée en milieu urbain qu’en milieu rural (respectivement 89 % </w:t>
      </w:r>
      <w:r w:rsidRPr="0022374B">
        <w:rPr>
          <w:rFonts w:ascii="Times New Roman" w:hAnsi="Times New Roman"/>
          <w:sz w:val="24"/>
          <w:szCs w:val="24"/>
        </w:rPr>
        <w:lastRenderedPageBreak/>
        <w:t>et 78 %). De même, l’intervention du médecin dans les prestations de soins prénatals est plus importante en milieu urbain qu’en milieu rural (10 % contre 3 %).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La quasi-totalité des femmes enceintes résidant dans les départements du Littoral (98 %), de l’Atlantique (98 %), du Couffo (90 %) et de l’Ouémé (90 %) ont effectué un suivi prénatal au cours de la dernière grossesse. Dans les autres départements, comme le Borgou, la couverture des soins prénatals est plus faible, puisque seulement 50 pour cent des femmes ont bénéficié de soins prénatals au cours de la dernière grossesse.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Le niveau d’instruction révèle des écarts importants. En effet, la quasi-totalité des femmes instruites ont reçu des soins prénatals, plus de 90 pour cent contre 78 pour cent des femmes non instruites. Par ailleurs, parmi les femmes instruites, ce sont celles du niveau secondaire 2 ou plus qui ont le plus reçu des soins prénatals (98 % contre 90 % pour les femmes ayant un niveau primaire).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La couverture en soins prénatals augmente avec le statut du ménage, variant de 69 pour cent dans les ménages du quintile le plus pauvre à 97 pour cent dans les ménages du quintile le plus riche. Près de 20 pour cent des femmes des ménages les plus riches ont consulté un médecin pour leurs consultations prénatales alors qu’elles sont 2 pour cent à en avoir fait de même dans les trois quintiles les plus pauvres.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Adolescentes et Jeunes adultes : une vulnérabilité spécifique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Les mêmes constations se dégagent pour les adolescentes : moindre couverture dans certains départements (Alibori, Borgou, Plateau), en milieu rural, parmi les femmes les moins instruites et parmi les plus pauvres. A ces caractéristiques s’opposent les départements de l’Atlantique, des Collines,  de Zou (où toutes les adolescentes ont reçu des soins prénatals), le milieu urbain, un niveau d’instruction élevé.</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Pour les jeunes adultes les caractéristiques varient parfois (les départements ne sont pas exactement les mêmes (Alibori, Borgou, mais pas le Plateau), mais dans l’ensemble le même tableau se dessine pour les autres variables (milieu de résidence, instruction, bien-être).</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Revenons à notre hypothèse d’une vulnérabilité spécifique du groupe des adolescentes par rapport aux jeunes adultes. Pour la mettre en évidence, nous avons calculé un coefficient multiplicateur, qui mesure l’écart entre les niveaux d’instruction ou de bien-être pour les adolescentes et jeunes adultes (écarts entre les lignes 1, 2, 3 et 4 sous forme de deux ratios  1:2 et 3:4). S’il y a sur-vulnérabilité liée à l’adolescence et non aux caractéristiques socioéconomiques, on doit constater des </w:t>
      </w:r>
      <w:r w:rsidRPr="0022374B">
        <w:rPr>
          <w:rFonts w:ascii="Times New Roman" w:hAnsi="Times New Roman"/>
          <w:i/>
          <w:sz w:val="24"/>
          <w:szCs w:val="24"/>
        </w:rPr>
        <w:t xml:space="preserve">écarts toujours plus élevés </w:t>
      </w:r>
      <w:r w:rsidRPr="0022374B">
        <w:rPr>
          <w:rFonts w:ascii="Times New Roman" w:hAnsi="Times New Roman"/>
          <w:sz w:val="24"/>
          <w:szCs w:val="24"/>
        </w:rPr>
        <w:t>dans le groupe des adolescentes. Cela n’est vrai que pour l’absence de soins prénatals : (x 9,9 contre (x 8,3) et (x 19,4) contre x 8,1) en contrôlant l’effet du niveau d’instruction et du bien-être. La vulnérabilité des adolescentes est avérée.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Mais l’absence de recours à du personnel qualifié donne un résultat opposé : les coefficients multiplicateurs des </w:t>
      </w:r>
      <w:r w:rsidRPr="0022374B">
        <w:rPr>
          <w:rFonts w:ascii="Times New Roman" w:hAnsi="Times New Roman"/>
          <w:i/>
          <w:sz w:val="24"/>
          <w:szCs w:val="24"/>
        </w:rPr>
        <w:t>jeunes adultes sont plus élevés</w:t>
      </w:r>
      <w:r w:rsidRPr="0022374B">
        <w:rPr>
          <w:rFonts w:ascii="Times New Roman" w:hAnsi="Times New Roman"/>
          <w:sz w:val="24"/>
          <w:szCs w:val="24"/>
        </w:rPr>
        <w:t xml:space="preserve"> que ceux des adolescentes.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L’interprétation de ces résultats contradictoires est délicate, s’agissant de deux indicateurs de l’offre de soins qui est donc la même pour les deux groupes. Il est  probable que l’absence totale de soins prénatals est un indicateur strictement binaire, alors que l’absence de « personnel qualifié » n’exclut pas l’intervention de personnels moins </w:t>
      </w:r>
      <w:r w:rsidRPr="0022374B">
        <w:rPr>
          <w:rFonts w:ascii="Times New Roman" w:hAnsi="Times New Roman"/>
          <w:sz w:val="24"/>
          <w:szCs w:val="24"/>
        </w:rPr>
        <w:lastRenderedPageBreak/>
        <w:t>qualifiés, et donc une protection, certes moins médicalisée, mais bien réelle (par exemple par des matrones). Dans ces conditions, le premier des deux indicateurs est plus pertinent pour mettre en évidence la vulnérabilité des adolescentes</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bCs/>
          <w:sz w:val="24"/>
          <w:szCs w:val="24"/>
        </w:rPr>
        <w:t>Tableau</w:t>
      </w:r>
      <w:r w:rsidRPr="0022374B">
        <w:rPr>
          <w:rFonts w:ascii="Times New Roman" w:hAnsi="Times New Roman"/>
          <w:b/>
          <w:sz w:val="24"/>
          <w:szCs w:val="24"/>
        </w:rPr>
        <w:t xml:space="preserve"> RH.7bis Comparaison entre les indicateurs de vulnérabilité</w:t>
      </w: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sz w:val="24"/>
          <w:szCs w:val="24"/>
        </w:rPr>
        <w:t>des mères adolescentes et des j</w:t>
      </w:r>
      <w:r w:rsidRPr="0022374B">
        <w:rPr>
          <w:rFonts w:ascii="Times New Roman" w:hAnsi="Times New Roman"/>
          <w:b/>
          <w:bCs/>
          <w:sz w:val="24"/>
          <w:szCs w:val="24"/>
        </w:rPr>
        <w:t>eunes mères adultes</w:t>
      </w:r>
    </w:p>
    <w:p w:rsidR="00B446D0" w:rsidRPr="0022374B" w:rsidRDefault="00B446D0" w:rsidP="0022374B">
      <w:pPr>
        <w:widowControl w:val="0"/>
        <w:spacing w:before="120"/>
        <w:jc w:val="both"/>
        <w:rPr>
          <w:rFonts w:ascii="Times New Roman" w:hAnsi="Times New Roman"/>
          <w:b/>
          <w:sz w:val="24"/>
          <w:szCs w:val="24"/>
        </w:rPr>
      </w:pPr>
    </w:p>
    <w:tbl>
      <w:tblPr>
        <w:tblW w:w="7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276"/>
        <w:gridCol w:w="1417"/>
        <w:gridCol w:w="1701"/>
        <w:gridCol w:w="1418"/>
      </w:tblGrid>
      <w:tr w:rsidR="00B446D0" w:rsidRPr="0022374B" w:rsidTr="00CD18E4">
        <w:trPr>
          <w:jc w:val="center"/>
        </w:trPr>
        <w:tc>
          <w:tcPr>
            <w:tcW w:w="1827" w:type="dxa"/>
            <w:vMerge w:val="restart"/>
            <w:vAlign w:val="center"/>
          </w:tcPr>
          <w:p w:rsidR="00B446D0" w:rsidRPr="0022374B" w:rsidRDefault="00B446D0" w:rsidP="0022374B">
            <w:pPr>
              <w:widowControl w:val="0"/>
              <w:spacing w:before="120"/>
              <w:jc w:val="both"/>
              <w:rPr>
                <w:rFonts w:ascii="Times New Roman" w:hAnsi="Times New Roman"/>
                <w:b/>
                <w:bCs/>
              </w:rPr>
            </w:pPr>
          </w:p>
        </w:tc>
        <w:tc>
          <w:tcPr>
            <w:tcW w:w="2693" w:type="dxa"/>
            <w:gridSpan w:val="2"/>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rPr>
              <w:t>Aucun soin prénatal</w:t>
            </w:r>
          </w:p>
        </w:tc>
        <w:tc>
          <w:tcPr>
            <w:tcW w:w="3119" w:type="dxa"/>
            <w:gridSpan w:val="2"/>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rPr>
              <w:t xml:space="preserve">Pas d’agent qualifié </w:t>
            </w:r>
          </w:p>
        </w:tc>
      </w:tr>
      <w:tr w:rsidR="00B446D0" w:rsidRPr="0022374B" w:rsidTr="00CD18E4">
        <w:trPr>
          <w:jc w:val="center"/>
        </w:trPr>
        <w:tc>
          <w:tcPr>
            <w:tcW w:w="1827" w:type="dxa"/>
            <w:vMerge/>
            <w:vAlign w:val="center"/>
          </w:tcPr>
          <w:p w:rsidR="00B446D0" w:rsidRPr="0022374B" w:rsidRDefault="00B446D0" w:rsidP="0022374B">
            <w:pPr>
              <w:widowControl w:val="0"/>
              <w:spacing w:before="120"/>
              <w:jc w:val="both"/>
              <w:rPr>
                <w:rFonts w:ascii="Times New Roman" w:hAnsi="Times New Roman"/>
              </w:rPr>
            </w:pPr>
          </w:p>
        </w:tc>
        <w:tc>
          <w:tcPr>
            <w:tcW w:w="1276"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Adolescentes </w:t>
            </w:r>
          </w:p>
        </w:tc>
        <w:tc>
          <w:tcPr>
            <w:tcW w:w="1417"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Jeunes adultes</w:t>
            </w:r>
          </w:p>
        </w:tc>
        <w:tc>
          <w:tcPr>
            <w:tcW w:w="1701"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Adolescentes </w:t>
            </w:r>
          </w:p>
        </w:tc>
        <w:tc>
          <w:tcPr>
            <w:tcW w:w="1418"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Jeunes adultes</w:t>
            </w:r>
          </w:p>
        </w:tc>
      </w:tr>
      <w:tr w:rsidR="00B446D0" w:rsidRPr="0022374B" w:rsidTr="00CD18E4">
        <w:trPr>
          <w:jc w:val="center"/>
        </w:trPr>
        <w:tc>
          <w:tcPr>
            <w:tcW w:w="1827" w:type="dxa"/>
            <w:vAlign w:val="center"/>
          </w:tcPr>
          <w:p w:rsidR="00B446D0" w:rsidRPr="0022374B" w:rsidRDefault="00B446D0" w:rsidP="0022374B">
            <w:pPr>
              <w:pStyle w:val="Paragraphedeliste"/>
              <w:widowControl w:val="0"/>
              <w:numPr>
                <w:ilvl w:val="0"/>
                <w:numId w:val="45"/>
              </w:numPr>
              <w:spacing w:before="120" w:after="0" w:line="240" w:lineRule="auto"/>
              <w:ind w:left="0" w:firstLine="0"/>
              <w:jc w:val="both"/>
              <w:rPr>
                <w:rFonts w:ascii="Times New Roman" w:hAnsi="Times New Roman"/>
              </w:rPr>
            </w:pP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Analphabète</w:t>
            </w:r>
          </w:p>
        </w:tc>
        <w:tc>
          <w:tcPr>
            <w:tcW w:w="127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16,9</w:t>
            </w:r>
          </w:p>
        </w:tc>
        <w:tc>
          <w:tcPr>
            <w:tcW w:w="1417"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10,9</w:t>
            </w:r>
          </w:p>
        </w:tc>
        <w:tc>
          <w:tcPr>
            <w:tcW w:w="1701"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24,3</w:t>
            </w:r>
          </w:p>
        </w:tc>
        <w:tc>
          <w:tcPr>
            <w:tcW w:w="141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24,2</w:t>
            </w:r>
          </w:p>
        </w:tc>
      </w:tr>
      <w:tr w:rsidR="00B446D0" w:rsidRPr="0022374B" w:rsidTr="00CD18E4">
        <w:trPr>
          <w:jc w:val="center"/>
        </w:trPr>
        <w:tc>
          <w:tcPr>
            <w:tcW w:w="182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 (2)</w:t>
            </w: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Secondaire 1</w:t>
            </w:r>
          </w:p>
        </w:tc>
        <w:tc>
          <w:tcPr>
            <w:tcW w:w="127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1,7</w:t>
            </w:r>
          </w:p>
        </w:tc>
        <w:tc>
          <w:tcPr>
            <w:tcW w:w="1417"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1701"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11,6</w:t>
            </w:r>
          </w:p>
        </w:tc>
        <w:tc>
          <w:tcPr>
            <w:tcW w:w="141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4,1</w:t>
            </w:r>
          </w:p>
        </w:tc>
      </w:tr>
      <w:tr w:rsidR="00B446D0" w:rsidRPr="0022374B" w:rsidTr="00CD18E4">
        <w:trPr>
          <w:jc w:val="center"/>
        </w:trPr>
        <w:tc>
          <w:tcPr>
            <w:tcW w:w="182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Ecart (1/2) </w:t>
            </w:r>
          </w:p>
        </w:tc>
        <w:tc>
          <w:tcPr>
            <w:tcW w:w="127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x 9,9</w:t>
            </w:r>
          </w:p>
        </w:tc>
        <w:tc>
          <w:tcPr>
            <w:tcW w:w="1417"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x 8,3</w:t>
            </w:r>
          </w:p>
        </w:tc>
        <w:tc>
          <w:tcPr>
            <w:tcW w:w="1701"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 x 2,1</w:t>
            </w:r>
          </w:p>
        </w:tc>
        <w:tc>
          <w:tcPr>
            <w:tcW w:w="141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x 5,7</w:t>
            </w:r>
          </w:p>
        </w:tc>
      </w:tr>
      <w:tr w:rsidR="00B446D0" w:rsidRPr="0022374B" w:rsidTr="00CD18E4">
        <w:trPr>
          <w:jc w:val="center"/>
        </w:trPr>
        <w:tc>
          <w:tcPr>
            <w:tcW w:w="182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w:t>
            </w: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pauvre</w:t>
            </w:r>
          </w:p>
        </w:tc>
        <w:tc>
          <w:tcPr>
            <w:tcW w:w="127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19,4</w:t>
            </w:r>
          </w:p>
        </w:tc>
        <w:tc>
          <w:tcPr>
            <w:tcW w:w="1417"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17,1</w:t>
            </w:r>
          </w:p>
        </w:tc>
        <w:tc>
          <w:tcPr>
            <w:tcW w:w="1701"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19,8</w:t>
            </w:r>
          </w:p>
        </w:tc>
        <w:tc>
          <w:tcPr>
            <w:tcW w:w="141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29,8</w:t>
            </w:r>
          </w:p>
        </w:tc>
      </w:tr>
      <w:tr w:rsidR="00B446D0" w:rsidRPr="0022374B" w:rsidTr="00CD18E4">
        <w:trPr>
          <w:jc w:val="center"/>
        </w:trPr>
        <w:tc>
          <w:tcPr>
            <w:tcW w:w="182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w:t>
            </w: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Quatrième </w:t>
            </w:r>
          </w:p>
        </w:tc>
        <w:tc>
          <w:tcPr>
            <w:tcW w:w="127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0,1</w:t>
            </w:r>
          </w:p>
        </w:tc>
        <w:tc>
          <w:tcPr>
            <w:tcW w:w="1417"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w:t>
            </w:r>
          </w:p>
        </w:tc>
        <w:tc>
          <w:tcPr>
            <w:tcW w:w="1701" w:type="dxa"/>
          </w:tcPr>
          <w:p w:rsidR="00B446D0" w:rsidRPr="0022374B" w:rsidRDefault="00B446D0" w:rsidP="0022374B">
            <w:pPr>
              <w:spacing w:before="120"/>
              <w:jc w:val="both"/>
              <w:rPr>
                <w:rFonts w:ascii="Times New Roman" w:hAnsi="Times New Roman"/>
              </w:rPr>
            </w:pPr>
            <w:r w:rsidRPr="0022374B">
              <w:rPr>
                <w:rFonts w:ascii="Times New Roman" w:hAnsi="Times New Roman"/>
              </w:rPr>
              <w:t>9</w:t>
            </w:r>
          </w:p>
        </w:tc>
        <w:tc>
          <w:tcPr>
            <w:tcW w:w="141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w:t>
            </w:r>
          </w:p>
        </w:tc>
      </w:tr>
      <w:tr w:rsidR="00B446D0" w:rsidRPr="0022374B" w:rsidTr="00CD18E4">
        <w:trPr>
          <w:jc w:val="center"/>
        </w:trPr>
        <w:tc>
          <w:tcPr>
            <w:tcW w:w="182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Ecart (3/4)</w:t>
            </w:r>
          </w:p>
        </w:tc>
        <w:tc>
          <w:tcPr>
            <w:tcW w:w="127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x 19,4</w:t>
            </w:r>
          </w:p>
        </w:tc>
        <w:tc>
          <w:tcPr>
            <w:tcW w:w="1417"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x 8,1</w:t>
            </w:r>
          </w:p>
        </w:tc>
        <w:tc>
          <w:tcPr>
            <w:tcW w:w="1701" w:type="dxa"/>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x 2,2 </w:t>
            </w:r>
          </w:p>
        </w:tc>
        <w:tc>
          <w:tcPr>
            <w:tcW w:w="141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x 3,4</w:t>
            </w:r>
          </w:p>
        </w:tc>
      </w:tr>
    </w:tbl>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 </w:t>
      </w:r>
    </w:p>
    <w:p w:rsidR="00B446D0" w:rsidRPr="0022374B" w:rsidRDefault="00B446D0" w:rsidP="0022374B">
      <w:pPr>
        <w:pStyle w:val="Paragraphedeliste"/>
        <w:widowControl w:val="0"/>
        <w:numPr>
          <w:ilvl w:val="1"/>
          <w:numId w:val="1"/>
        </w:numPr>
        <w:spacing w:before="120" w:after="0" w:line="240" w:lineRule="auto"/>
        <w:ind w:left="0" w:firstLine="0"/>
        <w:jc w:val="both"/>
        <w:rPr>
          <w:rFonts w:ascii="Times New Roman" w:hAnsi="Times New Roman"/>
          <w:b/>
          <w:sz w:val="24"/>
          <w:szCs w:val="24"/>
        </w:rPr>
      </w:pPr>
      <w:r w:rsidRPr="0022374B">
        <w:rPr>
          <w:rFonts w:ascii="Times New Roman" w:hAnsi="Times New Roman"/>
          <w:b/>
          <w:sz w:val="24"/>
          <w:szCs w:val="24"/>
        </w:rPr>
        <w:t xml:space="preserve">Nombre de visites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 tableau</w:t>
      </w:r>
      <w:r w:rsidRPr="0022374B">
        <w:rPr>
          <w:rStyle w:val="2H"/>
          <w:rFonts w:ascii="Times New Roman" w:hAnsi="Times New Roman"/>
          <w:szCs w:val="24"/>
        </w:rPr>
        <w:t> </w:t>
      </w:r>
      <w:r w:rsidRPr="0022374B">
        <w:rPr>
          <w:rFonts w:ascii="Times New Roman" w:hAnsi="Times New Roman"/>
          <w:sz w:val="24"/>
          <w:szCs w:val="24"/>
        </w:rPr>
        <w:t xml:space="preserve">RH.8 indique le nombre de visites prénatales effectuées au cours de la dernière grossesse ayant eu lieu pendant les deux années précédant l'enquête, quels que soient l’agent de santé et le stade de la grossesse à la première visite.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On trouvera dans le même tableau RH.8 du Rapport de la MICS des informations (non reproduites ici) sur le stade de la grossesse choisi au moment de la première visite prénatale. </w:t>
      </w:r>
    </w:p>
    <w:p w:rsidR="00B446D0" w:rsidRPr="0022374B" w:rsidRDefault="00B446D0" w:rsidP="0022374B">
      <w:pPr>
        <w:widowControl w:val="0"/>
        <w:spacing w:before="120"/>
        <w:jc w:val="both"/>
        <w:rPr>
          <w:rFonts w:ascii="Times New Roman" w:hAnsi="Times New Roman"/>
          <w:b/>
          <w:bCs/>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bCs/>
          <w:sz w:val="24"/>
          <w:szCs w:val="24"/>
        </w:rPr>
        <w:t>Tableau</w:t>
      </w:r>
      <w:r w:rsidRPr="0022374B">
        <w:rPr>
          <w:rFonts w:ascii="Times New Roman" w:hAnsi="Times New Roman"/>
          <w:b/>
          <w:sz w:val="24"/>
          <w:szCs w:val="24"/>
        </w:rPr>
        <w:t xml:space="preserve"> RH.8 Nombre de consultations prénatales</w:t>
      </w:r>
    </w:p>
    <w:p w:rsidR="00B446D0" w:rsidRPr="0022374B" w:rsidRDefault="00B446D0" w:rsidP="008870D4">
      <w:pPr>
        <w:widowControl w:val="0"/>
        <w:spacing w:before="120"/>
        <w:jc w:val="center"/>
        <w:rPr>
          <w:rFonts w:ascii="Times New Roman" w:hAnsi="Times New Roman"/>
          <w:sz w:val="24"/>
          <w:szCs w:val="24"/>
        </w:rPr>
      </w:pPr>
    </w:p>
    <w:p w:rsidR="00B446D0" w:rsidRPr="0022374B" w:rsidRDefault="00B446D0" w:rsidP="008870D4">
      <w:pPr>
        <w:widowControl w:val="0"/>
        <w:spacing w:before="120"/>
        <w:jc w:val="both"/>
        <w:rPr>
          <w:rFonts w:ascii="Times New Roman" w:hAnsi="Times New Roman"/>
          <w:sz w:val="24"/>
          <w:szCs w:val="24"/>
        </w:rPr>
      </w:pPr>
      <w:r w:rsidRPr="0022374B">
        <w:rPr>
          <w:rFonts w:ascii="Times New Roman" w:hAnsi="Times New Roman"/>
          <w:sz w:val="24"/>
          <w:szCs w:val="24"/>
        </w:rPr>
        <w:t xml:space="preserve">Pourcentage de mères adolescentes (15-19 ans), de </w:t>
      </w:r>
      <w:r w:rsidRPr="0022374B">
        <w:rPr>
          <w:rFonts w:ascii="Times New Roman" w:hAnsi="Times New Roman"/>
          <w:bCs/>
          <w:sz w:val="24"/>
          <w:szCs w:val="24"/>
        </w:rPr>
        <w:t xml:space="preserve">Jeunes mères adultes </w:t>
      </w:r>
      <w:r w:rsidRPr="0022374B">
        <w:rPr>
          <w:rFonts w:ascii="Times New Roman" w:hAnsi="Times New Roman"/>
          <w:sz w:val="24"/>
          <w:szCs w:val="24"/>
        </w:rPr>
        <w:t>(20-24 ans) et de l’ensemble des mères (15-49 ans) ayant eu une naissance vivante dans les 2 dernières années selon le nombre de consultations prénatales effectuées par n'importe quel agent de santé selon les caractéristiques socio-économiques</w:t>
      </w:r>
      <w:r w:rsidR="008870D4">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86"/>
        <w:gridCol w:w="76"/>
        <w:gridCol w:w="827"/>
        <w:gridCol w:w="6"/>
        <w:gridCol w:w="709"/>
        <w:gridCol w:w="68"/>
        <w:gridCol w:w="838"/>
        <w:gridCol w:w="94"/>
        <w:gridCol w:w="688"/>
        <w:gridCol w:w="93"/>
        <w:gridCol w:w="518"/>
        <w:gridCol w:w="129"/>
        <w:gridCol w:w="836"/>
        <w:gridCol w:w="95"/>
        <w:gridCol w:w="740"/>
        <w:gridCol w:w="49"/>
        <w:gridCol w:w="799"/>
      </w:tblGrid>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bCs/>
              </w:rPr>
            </w:pPr>
          </w:p>
        </w:tc>
        <w:tc>
          <w:tcPr>
            <w:tcW w:w="2737" w:type="dxa"/>
            <w:gridSpan w:val="6"/>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Adolescentes</w:t>
            </w:r>
          </w:p>
        </w:tc>
        <w:tc>
          <w:tcPr>
            <w:tcW w:w="2435" w:type="dxa"/>
            <w:gridSpan w:val="6"/>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Jeunes mères</w:t>
            </w:r>
          </w:p>
        </w:tc>
        <w:tc>
          <w:tcPr>
            <w:tcW w:w="2598" w:type="dxa"/>
            <w:gridSpan w:val="5"/>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Ensemble des mères</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bCs/>
              </w:rPr>
            </w:pPr>
          </w:p>
        </w:tc>
        <w:tc>
          <w:tcPr>
            <w:tcW w:w="901"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Aucune visite </w:t>
            </w:r>
          </w:p>
        </w:tc>
        <w:tc>
          <w:tcPr>
            <w:tcW w:w="978" w:type="dxa"/>
            <w:gridSpan w:val="2"/>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rPr>
              <w:t xml:space="preserve">4 ou plus* </w:t>
            </w:r>
          </w:p>
        </w:tc>
        <w:tc>
          <w:tcPr>
            <w:tcW w:w="858"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960"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Aucune visite</w:t>
            </w:r>
          </w:p>
        </w:tc>
        <w:tc>
          <w:tcPr>
            <w:tcW w:w="819" w:type="dxa"/>
            <w:gridSpan w:val="2"/>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rPr>
              <w:t>4 ou plus*</w:t>
            </w:r>
          </w:p>
        </w:tc>
        <w:tc>
          <w:tcPr>
            <w:tcW w:w="656"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Aucune visite</w:t>
            </w:r>
          </w:p>
        </w:tc>
        <w:tc>
          <w:tcPr>
            <w:tcW w:w="830" w:type="dxa"/>
            <w:gridSpan w:val="2"/>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rPr>
              <w:t>4 ou plus*</w:t>
            </w:r>
          </w:p>
        </w:tc>
        <w:tc>
          <w:tcPr>
            <w:tcW w:w="810"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Total</w:t>
            </w:r>
          </w:p>
        </w:tc>
        <w:tc>
          <w:tcPr>
            <w:tcW w:w="901"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9,6</w:t>
            </w:r>
          </w:p>
        </w:tc>
        <w:tc>
          <w:tcPr>
            <w:tcW w:w="978"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51,6</w:t>
            </w:r>
          </w:p>
        </w:tc>
        <w:tc>
          <w:tcPr>
            <w:tcW w:w="858" w:type="dxa"/>
            <w:gridSpan w:val="3"/>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369</w:t>
            </w:r>
          </w:p>
        </w:tc>
        <w:tc>
          <w:tcPr>
            <w:tcW w:w="960" w:type="dxa"/>
            <w:gridSpan w:val="2"/>
          </w:tcPr>
          <w:p w:rsidR="00B446D0" w:rsidRPr="0022374B" w:rsidRDefault="00B446D0" w:rsidP="0022374B">
            <w:pPr>
              <w:spacing w:before="120"/>
              <w:jc w:val="both"/>
              <w:rPr>
                <w:rFonts w:ascii="Times New Roman" w:hAnsi="Times New Roman"/>
                <w:bCs/>
              </w:rPr>
            </w:pPr>
            <w:r w:rsidRPr="0022374B">
              <w:rPr>
                <w:rFonts w:ascii="Times New Roman" w:hAnsi="Times New Roman"/>
              </w:rPr>
              <w:t>6,4</w:t>
            </w:r>
          </w:p>
        </w:tc>
        <w:tc>
          <w:tcPr>
            <w:tcW w:w="819" w:type="dxa"/>
            <w:gridSpan w:val="2"/>
          </w:tcPr>
          <w:p w:rsidR="00B446D0" w:rsidRPr="0022374B" w:rsidRDefault="00B446D0" w:rsidP="0022374B">
            <w:pPr>
              <w:spacing w:before="120"/>
              <w:jc w:val="both"/>
              <w:rPr>
                <w:rFonts w:ascii="Times New Roman" w:hAnsi="Times New Roman"/>
                <w:bCs/>
              </w:rPr>
            </w:pPr>
            <w:r w:rsidRPr="0022374B">
              <w:rPr>
                <w:rFonts w:ascii="Times New Roman" w:hAnsi="Times New Roman"/>
                <w:bCs/>
              </w:rPr>
              <w:t>58,5</w:t>
            </w:r>
          </w:p>
        </w:tc>
        <w:tc>
          <w:tcPr>
            <w:tcW w:w="656" w:type="dxa"/>
            <w:gridSpan w:val="2"/>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1260</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7,4</w:t>
            </w:r>
          </w:p>
        </w:tc>
        <w:tc>
          <w:tcPr>
            <w:tcW w:w="830"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58,7</w:t>
            </w:r>
          </w:p>
        </w:tc>
        <w:tc>
          <w:tcPr>
            <w:tcW w:w="810"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5 388</w:t>
            </w:r>
          </w:p>
        </w:tc>
      </w:tr>
      <w:tr w:rsidR="00B446D0" w:rsidRPr="0022374B" w:rsidTr="00CD18E4">
        <w:tc>
          <w:tcPr>
            <w:tcW w:w="9288" w:type="dxa"/>
            <w:gridSpan w:val="18"/>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lastRenderedPageBreak/>
              <w:t>Département</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Alibori</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23,1</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44,0</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30</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16,4</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32,1</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86</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17,7</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36,2</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381</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Atacora</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8,7</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9,8</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34</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10,4</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26,5</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126</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13,3</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26,5</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466</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Atlantique</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42,1</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43</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61,7</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160</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0,3</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65,8</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793</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Borgou</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21,8</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53,3</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21,8</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40,3</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155</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22,9</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47,0</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616</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Collines</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42,8</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4,8</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59,0</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5,4</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51,2</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387</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Couffo</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6,0</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75,2</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64,5</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103</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2,7</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66,7</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497</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Donga</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10,1</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45,2</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20</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10,0</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61,4</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78</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15,3</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54,3</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276</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Littoral</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92,4</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90,5</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67</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1,3</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86,1</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301</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Mono</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5,2</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55,1</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52,3</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2,4</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57,0</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290</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Ouémé</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6,5</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75,0</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28</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85,1</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154</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1,2</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77,3</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614</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Plateau</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12,6</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56,1</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2,2</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68,9</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81</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5,7</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66,3</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351</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Zou</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67,0</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32</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1,8</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70,0</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96</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2,8</w:t>
            </w:r>
          </w:p>
        </w:tc>
        <w:tc>
          <w:tcPr>
            <w:tcW w:w="83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67,3</w:t>
            </w:r>
          </w:p>
        </w:tc>
        <w:tc>
          <w:tcPr>
            <w:tcW w:w="810"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416</w:t>
            </w:r>
          </w:p>
        </w:tc>
      </w:tr>
      <w:tr w:rsidR="00B446D0" w:rsidRPr="0022374B" w:rsidTr="00CD18E4">
        <w:tc>
          <w:tcPr>
            <w:tcW w:w="9288" w:type="dxa"/>
            <w:gridSpan w:val="18"/>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Milieu de résidence</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Urbain</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6,4</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57,2</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138</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4,0</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66,7</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547</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5,2</w:t>
            </w:r>
          </w:p>
        </w:tc>
        <w:tc>
          <w:tcPr>
            <w:tcW w:w="830"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65,5</w:t>
            </w:r>
          </w:p>
        </w:tc>
        <w:tc>
          <w:tcPr>
            <w:tcW w:w="810"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2 331</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Rural</w:t>
            </w:r>
          </w:p>
        </w:tc>
        <w:tc>
          <w:tcPr>
            <w:tcW w:w="901"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11,5</w:t>
            </w:r>
          </w:p>
        </w:tc>
        <w:tc>
          <w:tcPr>
            <w:tcW w:w="97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48,3</w:t>
            </w:r>
          </w:p>
        </w:tc>
        <w:tc>
          <w:tcPr>
            <w:tcW w:w="858"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231</w:t>
            </w:r>
          </w:p>
        </w:tc>
        <w:tc>
          <w:tcPr>
            <w:tcW w:w="96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8,2</w:t>
            </w:r>
          </w:p>
        </w:tc>
        <w:tc>
          <w:tcPr>
            <w:tcW w:w="819"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52,2</w:t>
            </w:r>
          </w:p>
        </w:tc>
        <w:tc>
          <w:tcPr>
            <w:tcW w:w="656"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712</w:t>
            </w:r>
          </w:p>
        </w:tc>
        <w:tc>
          <w:tcPr>
            <w:tcW w:w="958"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9,1</w:t>
            </w:r>
          </w:p>
        </w:tc>
        <w:tc>
          <w:tcPr>
            <w:tcW w:w="830"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53,6</w:t>
            </w:r>
          </w:p>
        </w:tc>
        <w:tc>
          <w:tcPr>
            <w:tcW w:w="810"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3 057</w:t>
            </w:r>
          </w:p>
        </w:tc>
      </w:tr>
      <w:tr w:rsidR="00B446D0" w:rsidRPr="0022374B" w:rsidTr="00CD18E4">
        <w:trPr>
          <w:trHeight w:val="478"/>
        </w:trPr>
        <w:tc>
          <w:tcPr>
            <w:tcW w:w="9288" w:type="dxa"/>
            <w:gridSpan w:val="18"/>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Instruction de la mère</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Aucune</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16,9</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41,0</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166</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10,9</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48,4</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624</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10,7</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51,3</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3 303</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Primaire</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5,3</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59,9</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111</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2,8</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61,3</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331</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2,5</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65,9</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1 251</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 1</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1,7</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59,7</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73,9</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245</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1,1</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73,2</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591</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 2 ou +</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69,6</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84,4</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60</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0,9</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86,6</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242</w:t>
            </w:r>
          </w:p>
        </w:tc>
      </w:tr>
      <w:tr w:rsidR="00B446D0" w:rsidRPr="0022374B" w:rsidTr="00CD18E4">
        <w:tc>
          <w:tcPr>
            <w:tcW w:w="9288" w:type="dxa"/>
            <w:gridSpan w:val="18"/>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Indice de bien-être économique</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pauvre</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19,4</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31,8</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17,1</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35,1</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233</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35,8</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34,7</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1 095</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14,1</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47,4</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49,2</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277</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20,2</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50,2</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1 127</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Moyen</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56,8</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3,8</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58,8</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269</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61,5</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1 095</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Quatrième</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0,0</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58,7</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70,8</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270</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3,8</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67,5</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1 133</w:t>
            </w:r>
          </w:p>
        </w:tc>
      </w:tr>
      <w:tr w:rsidR="00B446D0" w:rsidRPr="0022374B" w:rsidTr="00CD18E4">
        <w:tc>
          <w:tcPr>
            <w:tcW w:w="151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riche</w:t>
            </w:r>
          </w:p>
        </w:tc>
        <w:tc>
          <w:tcPr>
            <w:tcW w:w="977"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4,2</w:t>
            </w:r>
          </w:p>
        </w:tc>
        <w:tc>
          <w:tcPr>
            <w:tcW w:w="9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74,0</w:t>
            </w:r>
          </w:p>
        </w:tc>
        <w:tc>
          <w:tcPr>
            <w:tcW w:w="766"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44</w:t>
            </w:r>
          </w:p>
        </w:tc>
        <w:tc>
          <w:tcPr>
            <w:tcW w:w="94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w:t>
            </w:r>
          </w:p>
        </w:tc>
        <w:tc>
          <w:tcPr>
            <w:tcW w:w="82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80,7</w:t>
            </w:r>
          </w:p>
        </w:tc>
        <w:tc>
          <w:tcPr>
            <w:tcW w:w="619"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210</w:t>
            </w:r>
          </w:p>
        </w:tc>
        <w:tc>
          <w:tcPr>
            <w:tcW w:w="99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880"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83,0</w:t>
            </w:r>
          </w:p>
        </w:tc>
        <w:tc>
          <w:tcPr>
            <w:tcW w:w="862"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938</w:t>
            </w:r>
          </w:p>
        </w:tc>
      </w:tr>
    </w:tbl>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Indicateur MICS 5.5b ; Indicateur OMD 5.5 - Couverture des soins prénatals</w:t>
      </w:r>
      <w:r w:rsidRPr="0022374B">
        <w:rPr>
          <w:rFonts w:ascii="Times New Roman" w:hAnsi="Times New Roman"/>
          <w:sz w:val="24"/>
          <w:szCs w:val="24"/>
        </w:rPr>
        <w:t xml:space="preserv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Les adolescentes sont plus nombreuses que les deux autres groupes de femmes à n’avoir fait aucune visite. De même elles sont moins nombreuses à avoir bénéficié d’un suivi satisfaisant de leur grossesse selon les normes de l’OMS. Examinons pour les trois groupes de femmes les différences selon leurs caractéristiques. </w:t>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 xml:space="preserve">Ensemble des mères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Le rapport national souligne que les disparités sont importantes selon toutes les variables. Ainsi, les quatre visites recommandées par l’OMS sont effectuées par 66 pour cent des femmes enceintes résidant en milieu urbain contre 54 pour cent de celles du milieu rural. La même proportion varie de 57 à 86 pour cent des femmes du Mono, de l’Atlantique, du Plateau, du Couffo, du Zou, de l’Ouémé et du Littoral, contre 27 % dans l’Atacora (27 %) et 36 % dans l’Alibori. La proportion passe de 51 pour cent chez les femmes non instruites à 87 pour cent chez celles de niveau supérieur. Cette tendance est la même </w:t>
      </w:r>
      <w:r w:rsidRPr="0022374B">
        <w:rPr>
          <w:rFonts w:ascii="Times New Roman" w:hAnsi="Times New Roman"/>
          <w:sz w:val="24"/>
          <w:szCs w:val="24"/>
        </w:rPr>
        <w:lastRenderedPageBreak/>
        <w:t>selon l’indice de bien-être économique : 83 pour cent chez les plus riches contre 35 pour cent chez les femmes les plus pauvres.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
          <w:sz w:val="24"/>
          <w:szCs w:val="24"/>
        </w:rPr>
        <w:t xml:space="preserve">Mères adolescentes et Jeunes mères adultes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Pour les deux catégories définies dans cette étude, les mêmes départements se détachent (Alibori, Borgou, Plateau) et un suivi insuffisant s’observe plus souvent en milieu rural, lorsque la femme a un faible niveau d’instruction ou qu’elle appartient à un ménage de bas niveau de bien-être.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L’hypothèse d’une sur-vulnérabilité des adolescentes, à caractéristiques égales, se vérifie toujours. Ainsi, parmi les femmes analphabètes, 41,0 % seulement contre  48,4 % et 51,3 % ont effectué les quatre visites recommandées par l’OMS.</w:t>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sz w:val="24"/>
          <w:szCs w:val="24"/>
        </w:rPr>
        <w:t xml:space="preserve"> </w:t>
      </w:r>
    </w:p>
    <w:p w:rsidR="00B446D0" w:rsidRPr="0022374B" w:rsidRDefault="00B446D0" w:rsidP="0022374B">
      <w:pPr>
        <w:pStyle w:val="Titre2"/>
        <w:keepNext w:val="0"/>
        <w:widowControl w:val="0"/>
        <w:spacing w:before="120" w:after="0"/>
        <w:jc w:val="both"/>
        <w:rPr>
          <w:rStyle w:val="2H"/>
          <w:rFonts w:ascii="Times New Roman" w:hAnsi="Times New Roman"/>
          <w:b/>
          <w:bCs/>
          <w:szCs w:val="24"/>
        </w:rPr>
      </w:pPr>
      <w:r w:rsidRPr="0022374B">
        <w:rPr>
          <w:rStyle w:val="2H"/>
          <w:rFonts w:ascii="Times New Roman" w:hAnsi="Times New Roman"/>
          <w:bCs/>
          <w:szCs w:val="24"/>
        </w:rPr>
        <w:t>2.3 Assistance à l’accouchement</w:t>
      </w:r>
    </w:p>
    <w:p w:rsidR="00B446D0" w:rsidRPr="0022374B" w:rsidRDefault="00B446D0" w:rsidP="0022374B">
      <w:pPr>
        <w:pStyle w:val="BiblioTexte"/>
        <w:spacing w:before="120" w:line="240" w:lineRule="auto"/>
        <w:jc w:val="both"/>
        <w:rPr>
          <w:rFonts w:ascii="Times New Roman" w:hAnsi="Times New Roman"/>
          <w:sz w:val="24"/>
          <w:szCs w:val="24"/>
        </w:rPr>
      </w:pPr>
      <w:r w:rsidRPr="0022374B">
        <w:rPr>
          <w:rFonts w:ascii="Times New Roman" w:hAnsi="Times New Roman"/>
          <w:sz w:val="24"/>
          <w:szCs w:val="24"/>
        </w:rPr>
        <w:t>Comme le rappelle le Rapport national, à peu près les trois-quarts</w:t>
      </w:r>
      <w:r w:rsidRPr="0022374B">
        <w:rPr>
          <w:rStyle w:val="Appelnotedebasdep"/>
          <w:rFonts w:ascii="Times New Roman" w:hAnsi="Times New Roman"/>
          <w:sz w:val="24"/>
          <w:szCs w:val="24"/>
        </w:rPr>
        <w:footnoteReference w:id="3"/>
      </w:r>
      <w:r w:rsidRPr="0022374B">
        <w:rPr>
          <w:rFonts w:ascii="Times New Roman" w:hAnsi="Times New Roman"/>
          <w:sz w:val="24"/>
          <w:szCs w:val="24"/>
        </w:rPr>
        <w:t xml:space="preserve"> de tous les décès maternels sont liés directement à l’accouchement. Il est crucial pour une maternité sans risque de veiller à ce qu’un personnel qualifié soit présent à chaque naissance et que le transport soit disponible pour l’acheminement vers un établissement de référence en vue de soins obstétricaux en cas d’urgence. En particulier la possibilité d’effectuer une césarienne lorsque l’enfant ne se présente pas de manière normale est une condition de sa survie et parfois de celle de sa mère. C’est pourquoi l’indicateur de l‘assistance qualifiée à l’accouchement sert à suivre les progrès vers l’objectif 5 du Millénaire pour le développement, à savoir « améliorer la santé maternelle ». Si le tableau RH.10 de l</w:t>
      </w:r>
      <w:r w:rsidRPr="0022374B">
        <w:rPr>
          <w:rFonts w:ascii="Times New Roman" w:hAnsi="Times New Roman"/>
          <w:b/>
          <w:sz w:val="24"/>
          <w:szCs w:val="24"/>
        </w:rPr>
        <w:t>’</w:t>
      </w:r>
      <w:r w:rsidRPr="0022374B">
        <w:rPr>
          <w:rFonts w:ascii="Times New Roman" w:hAnsi="Times New Roman"/>
          <w:sz w:val="24"/>
          <w:szCs w:val="24"/>
        </w:rPr>
        <w:t>enquête MICS permet d’'évaluer la proportion d'accouchements assistés par un personnel qualifié, médecin, infirmière ou sage-femme, nous n’avons pas reproduit les chiffres relatifs aux accouchements par césarienne car ils mesurent uniquement les accouchements effectivement réalisés par césarienne donc lorsque le besoin s’en est fait sentir. Mais la fréquence de ces accouchements ne permet pas de conclure qu’elle « sert à suivre les progrès vers l’objectif 5 du Millénaire pour le développement, à savoir « améliorer la santé maternelle ». Pour cela il faudrait comparer la fréquence en 2014 à celles mesurées par les enquêtes antérieures.</w:t>
      </w:r>
    </w:p>
    <w:p w:rsidR="00B446D0" w:rsidRPr="0022374B" w:rsidRDefault="00B446D0" w:rsidP="0022374B">
      <w:pPr>
        <w:pStyle w:val="BiblioTexte"/>
        <w:spacing w:before="120" w:line="240" w:lineRule="auto"/>
        <w:jc w:val="both"/>
        <w:rPr>
          <w:rFonts w:ascii="Times New Roman" w:hAnsi="Times New Roman"/>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bCs/>
          <w:sz w:val="24"/>
          <w:szCs w:val="24"/>
        </w:rPr>
        <w:t>Tableau RH.10 : Assistance à l'accouchement</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Pourcentage de mères adolescentes (15-19 ans), de </w:t>
      </w:r>
      <w:r w:rsidRPr="0022374B">
        <w:rPr>
          <w:rFonts w:ascii="Times New Roman" w:hAnsi="Times New Roman"/>
          <w:bCs/>
          <w:sz w:val="24"/>
          <w:szCs w:val="24"/>
        </w:rPr>
        <w:t xml:space="preserve">Jeunes mères adultes </w:t>
      </w:r>
      <w:r w:rsidRPr="0022374B">
        <w:rPr>
          <w:rFonts w:ascii="Times New Roman" w:hAnsi="Times New Roman"/>
          <w:sz w:val="24"/>
          <w:szCs w:val="24"/>
        </w:rPr>
        <w:t>(20-24 ans) et de l’ensemble des mères (15-49 ans) ayant eu une naissance vivante dans les 2 dernières années selon la personne qui a assisté l'accouchement selon les caractéristiques socio-économiques.</w:t>
      </w:r>
    </w:p>
    <w:tbl>
      <w:tblPr>
        <w:tblW w:w="6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124"/>
        <w:gridCol w:w="900"/>
        <w:gridCol w:w="47"/>
        <w:gridCol w:w="653"/>
        <w:gridCol w:w="155"/>
        <w:gridCol w:w="680"/>
        <w:gridCol w:w="28"/>
        <w:gridCol w:w="708"/>
        <w:gridCol w:w="10"/>
        <w:gridCol w:w="47"/>
        <w:gridCol w:w="792"/>
        <w:gridCol w:w="15"/>
        <w:gridCol w:w="89"/>
        <w:gridCol w:w="760"/>
        <w:gridCol w:w="18"/>
        <w:gridCol w:w="73"/>
        <w:gridCol w:w="16"/>
      </w:tblGrid>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bCs/>
              </w:rPr>
            </w:pPr>
          </w:p>
        </w:tc>
        <w:tc>
          <w:tcPr>
            <w:tcW w:w="1724" w:type="dxa"/>
            <w:gridSpan w:val="4"/>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Adolescentes</w:t>
            </w:r>
          </w:p>
        </w:tc>
        <w:tc>
          <w:tcPr>
            <w:tcW w:w="1628" w:type="dxa"/>
            <w:gridSpan w:val="6"/>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rPr>
              <w:t>Jeunes mères</w:t>
            </w:r>
          </w:p>
        </w:tc>
        <w:tc>
          <w:tcPr>
            <w:tcW w:w="1747" w:type="dxa"/>
            <w:gridSpan w:val="6"/>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Ensemble des mères</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bCs/>
              </w:rPr>
            </w:pPr>
          </w:p>
        </w:tc>
        <w:tc>
          <w:tcPr>
            <w:tcW w:w="107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Assist.</w:t>
            </w: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Qualif.</w:t>
            </w:r>
          </w:p>
        </w:tc>
        <w:tc>
          <w:tcPr>
            <w:tcW w:w="6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835" w:type="dxa"/>
            <w:gridSpan w:val="2"/>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Assist.</w:t>
            </w:r>
          </w:p>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rPr>
              <w:t>Qualif.</w:t>
            </w:r>
          </w:p>
        </w:tc>
        <w:tc>
          <w:tcPr>
            <w:tcW w:w="793" w:type="dxa"/>
            <w:gridSpan w:val="4"/>
            <w:vAlign w:val="bottom"/>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N</w:t>
            </w:r>
          </w:p>
        </w:tc>
        <w:tc>
          <w:tcPr>
            <w:tcW w:w="896"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Assist.</w:t>
            </w: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Qualif.</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Total</w:t>
            </w:r>
          </w:p>
        </w:tc>
        <w:tc>
          <w:tcPr>
            <w:tcW w:w="1071" w:type="dxa"/>
            <w:gridSpan w:val="3"/>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78,5</w:t>
            </w:r>
          </w:p>
        </w:tc>
        <w:tc>
          <w:tcPr>
            <w:tcW w:w="653" w:type="dxa"/>
          </w:tcPr>
          <w:p w:rsidR="00B446D0" w:rsidRPr="0022374B" w:rsidRDefault="00B446D0" w:rsidP="0022374B">
            <w:pPr>
              <w:spacing w:before="120"/>
              <w:jc w:val="both"/>
              <w:rPr>
                <w:rFonts w:ascii="Times New Roman" w:hAnsi="Times New Roman"/>
                <w:bCs/>
              </w:rPr>
            </w:pPr>
            <w:r w:rsidRPr="0022374B">
              <w:rPr>
                <w:rFonts w:ascii="Times New Roman" w:hAnsi="Times New Roman"/>
              </w:rPr>
              <w:t>369</w:t>
            </w:r>
          </w:p>
        </w:tc>
        <w:tc>
          <w:tcPr>
            <w:tcW w:w="835" w:type="dxa"/>
            <w:gridSpan w:val="2"/>
          </w:tcPr>
          <w:p w:rsidR="00B446D0" w:rsidRPr="0022374B" w:rsidRDefault="00B446D0" w:rsidP="0022374B">
            <w:pPr>
              <w:spacing w:before="120"/>
              <w:jc w:val="both"/>
              <w:rPr>
                <w:rFonts w:ascii="Times New Roman" w:hAnsi="Times New Roman"/>
                <w:bCs/>
              </w:rPr>
            </w:pPr>
            <w:r w:rsidRPr="0022374B">
              <w:rPr>
                <w:rFonts w:ascii="Times New Roman" w:hAnsi="Times New Roman"/>
              </w:rPr>
              <w:t>77,9</w:t>
            </w:r>
          </w:p>
        </w:tc>
        <w:tc>
          <w:tcPr>
            <w:tcW w:w="793" w:type="dxa"/>
            <w:gridSpan w:val="4"/>
          </w:tcPr>
          <w:p w:rsidR="00B446D0" w:rsidRPr="0022374B" w:rsidRDefault="00B446D0" w:rsidP="0022374B">
            <w:pPr>
              <w:spacing w:before="120"/>
              <w:jc w:val="both"/>
              <w:rPr>
                <w:rFonts w:ascii="Times New Roman" w:hAnsi="Times New Roman"/>
              </w:rPr>
            </w:pPr>
            <w:r w:rsidRPr="0022374B">
              <w:rPr>
                <w:rFonts w:ascii="Times New Roman" w:hAnsi="Times New Roman"/>
              </w:rPr>
              <w:t>1260</w:t>
            </w:r>
          </w:p>
        </w:tc>
        <w:tc>
          <w:tcPr>
            <w:tcW w:w="896" w:type="dxa"/>
            <w:gridSpan w:val="3"/>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bCs/>
              </w:rPr>
              <w:t>80,0</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5 388</w:t>
            </w:r>
          </w:p>
        </w:tc>
      </w:tr>
      <w:tr w:rsidR="00B446D0" w:rsidRPr="0022374B" w:rsidTr="00CD18E4">
        <w:trPr>
          <w:jc w:val="center"/>
        </w:trPr>
        <w:tc>
          <w:tcPr>
            <w:tcW w:w="6290" w:type="dxa"/>
            <w:gridSpan w:val="18"/>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Département</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Alibori</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74,0</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30</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59,1</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63,7</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381</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lastRenderedPageBreak/>
              <w:t>Atacora</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85,9</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34</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85,2</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126</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81,9</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466</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Atlantique</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43</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95,5</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160</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98,6</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793</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Borgou</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44,9</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45,0</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155</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42,4</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616</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Collines</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85,4</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83,4</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84,4</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387</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Couffo</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78,3</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73,1</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103</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84,0</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497</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Donga</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76,6</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20</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80,4</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78,5</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276</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Littoral</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Na</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301</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Mono</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86,5</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79,7</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80,3</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290</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Ouémé</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85,9</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28</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83,1</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154</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82,2</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614</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Plateau</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70,5</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67,7</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73,0</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351</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Zou</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88,6</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32</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87,7</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96</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86,0</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416</w:t>
            </w:r>
          </w:p>
        </w:tc>
      </w:tr>
      <w:tr w:rsidR="00B446D0" w:rsidRPr="0022374B" w:rsidTr="00CD18E4">
        <w:trPr>
          <w:jc w:val="center"/>
        </w:trPr>
        <w:tc>
          <w:tcPr>
            <w:tcW w:w="6290" w:type="dxa"/>
            <w:gridSpan w:val="18"/>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Milieu de résidence</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Urbain</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95,3</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138</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85,2</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547</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87,5</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2 331</w:t>
            </w:r>
          </w:p>
        </w:tc>
      </w:tr>
      <w:tr w:rsidR="00B446D0" w:rsidRPr="0022374B" w:rsidTr="00CD18E4">
        <w:trPr>
          <w:gridAfter w:val="1"/>
          <w:wAfter w:w="16" w:type="dxa"/>
          <w:jc w:val="center"/>
        </w:trPr>
        <w:tc>
          <w:tcPr>
            <w:tcW w:w="1175" w:type="dxa"/>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Rural</w:t>
            </w:r>
          </w:p>
        </w:tc>
        <w:tc>
          <w:tcPr>
            <w:tcW w:w="1071"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68,4</w:t>
            </w:r>
          </w:p>
        </w:tc>
        <w:tc>
          <w:tcPr>
            <w:tcW w:w="653"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231</w:t>
            </w:r>
          </w:p>
        </w:tc>
        <w:tc>
          <w:tcPr>
            <w:tcW w:w="835"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59,1</w:t>
            </w:r>
          </w:p>
        </w:tc>
        <w:tc>
          <w:tcPr>
            <w:tcW w:w="793" w:type="dxa"/>
            <w:gridSpan w:val="4"/>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712</w:t>
            </w:r>
          </w:p>
        </w:tc>
        <w:tc>
          <w:tcPr>
            <w:tcW w:w="896"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74,2</w:t>
            </w:r>
          </w:p>
        </w:tc>
        <w:tc>
          <w:tcPr>
            <w:tcW w:w="851"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3 057</w:t>
            </w:r>
          </w:p>
        </w:tc>
      </w:tr>
      <w:tr w:rsidR="00B446D0" w:rsidRPr="0022374B" w:rsidTr="00CD18E4">
        <w:trPr>
          <w:trHeight w:val="616"/>
          <w:jc w:val="center"/>
        </w:trPr>
        <w:tc>
          <w:tcPr>
            <w:tcW w:w="6290" w:type="dxa"/>
            <w:gridSpan w:val="18"/>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bCs/>
              </w:rPr>
              <w:t>Instruction de la mère</w:t>
            </w:r>
          </w:p>
        </w:tc>
      </w:tr>
      <w:tr w:rsidR="00B446D0" w:rsidRPr="0022374B" w:rsidTr="00CD18E4">
        <w:trPr>
          <w:gridAfter w:val="2"/>
          <w:wAfter w:w="89"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Aucune</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68,4</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166</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67,1</w:t>
            </w:r>
          </w:p>
        </w:tc>
        <w:tc>
          <w:tcPr>
            <w:tcW w:w="71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624</w:t>
            </w:r>
          </w:p>
        </w:tc>
        <w:tc>
          <w:tcPr>
            <w:tcW w:w="854"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73,2</w:t>
            </w:r>
          </w:p>
        </w:tc>
        <w:tc>
          <w:tcPr>
            <w:tcW w:w="867"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3 303</w:t>
            </w:r>
          </w:p>
        </w:tc>
      </w:tr>
      <w:tr w:rsidR="00B446D0" w:rsidRPr="0022374B" w:rsidTr="00CD18E4">
        <w:trPr>
          <w:gridAfter w:val="2"/>
          <w:wAfter w:w="89"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Primaire</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86,7</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111</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85,8</w:t>
            </w:r>
          </w:p>
        </w:tc>
        <w:tc>
          <w:tcPr>
            <w:tcW w:w="71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331</w:t>
            </w:r>
          </w:p>
        </w:tc>
        <w:tc>
          <w:tcPr>
            <w:tcW w:w="854"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87,9</w:t>
            </w:r>
          </w:p>
        </w:tc>
        <w:tc>
          <w:tcPr>
            <w:tcW w:w="867"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1 251</w:t>
            </w:r>
          </w:p>
        </w:tc>
      </w:tr>
      <w:tr w:rsidR="00B446D0" w:rsidRPr="0022374B" w:rsidTr="00CD18E4">
        <w:trPr>
          <w:gridAfter w:val="2"/>
          <w:wAfter w:w="89"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Second.1</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85,2</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89,0</w:t>
            </w:r>
          </w:p>
        </w:tc>
        <w:tc>
          <w:tcPr>
            <w:tcW w:w="71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245</w:t>
            </w:r>
          </w:p>
        </w:tc>
        <w:tc>
          <w:tcPr>
            <w:tcW w:w="854"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91,8</w:t>
            </w:r>
          </w:p>
        </w:tc>
        <w:tc>
          <w:tcPr>
            <w:tcW w:w="867"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591</w:t>
            </w:r>
          </w:p>
        </w:tc>
      </w:tr>
      <w:tr w:rsidR="00B446D0" w:rsidRPr="0022374B" w:rsidTr="00CD18E4">
        <w:trPr>
          <w:gridAfter w:val="2"/>
          <w:wAfter w:w="89"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Sec.2 ou +</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100</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100</w:t>
            </w:r>
          </w:p>
        </w:tc>
        <w:tc>
          <w:tcPr>
            <w:tcW w:w="71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60</w:t>
            </w:r>
          </w:p>
        </w:tc>
        <w:tc>
          <w:tcPr>
            <w:tcW w:w="854"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100</w:t>
            </w:r>
          </w:p>
        </w:tc>
        <w:tc>
          <w:tcPr>
            <w:tcW w:w="867"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242</w:t>
            </w:r>
          </w:p>
        </w:tc>
      </w:tr>
      <w:tr w:rsidR="00B446D0" w:rsidRPr="0022374B" w:rsidTr="00CD18E4">
        <w:trPr>
          <w:gridAfter w:val="2"/>
          <w:wAfter w:w="89" w:type="dxa"/>
          <w:jc w:val="center"/>
        </w:trPr>
        <w:tc>
          <w:tcPr>
            <w:tcW w:w="6201" w:type="dxa"/>
            <w:gridSpan w:val="16"/>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bCs/>
              </w:rPr>
              <w:t>Indice de bien-être économique</w:t>
            </w:r>
          </w:p>
        </w:tc>
      </w:tr>
      <w:tr w:rsidR="00B446D0" w:rsidRPr="0022374B" w:rsidTr="00CD18E4">
        <w:trPr>
          <w:gridAfter w:val="3"/>
          <w:wAfter w:w="107"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Le plus pauvre</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69,9</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60,9</w:t>
            </w:r>
          </w:p>
        </w:tc>
        <w:tc>
          <w:tcPr>
            <w:tcW w:w="70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233</w:t>
            </w:r>
          </w:p>
        </w:tc>
        <w:tc>
          <w:tcPr>
            <w:tcW w:w="849"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61,9</w:t>
            </w:r>
          </w:p>
        </w:tc>
        <w:tc>
          <w:tcPr>
            <w:tcW w:w="864"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1 095</w:t>
            </w:r>
          </w:p>
        </w:tc>
      </w:tr>
      <w:tr w:rsidR="00B446D0" w:rsidRPr="0022374B" w:rsidTr="00CD18E4">
        <w:trPr>
          <w:gridAfter w:val="3"/>
          <w:wAfter w:w="107"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Second</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67,5</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67,1</w:t>
            </w:r>
          </w:p>
        </w:tc>
        <w:tc>
          <w:tcPr>
            <w:tcW w:w="70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277</w:t>
            </w:r>
          </w:p>
        </w:tc>
        <w:tc>
          <w:tcPr>
            <w:tcW w:w="849"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71,1</w:t>
            </w:r>
          </w:p>
        </w:tc>
        <w:tc>
          <w:tcPr>
            <w:tcW w:w="864"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1 127</w:t>
            </w:r>
          </w:p>
        </w:tc>
      </w:tr>
      <w:tr w:rsidR="00B446D0" w:rsidRPr="0022374B" w:rsidTr="00CD18E4">
        <w:trPr>
          <w:gridAfter w:val="3"/>
          <w:wAfter w:w="107"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Moyen</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72,4</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80,3</w:t>
            </w:r>
          </w:p>
        </w:tc>
        <w:tc>
          <w:tcPr>
            <w:tcW w:w="70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269</w:t>
            </w:r>
          </w:p>
        </w:tc>
        <w:tc>
          <w:tcPr>
            <w:tcW w:w="849"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83,2</w:t>
            </w:r>
          </w:p>
        </w:tc>
        <w:tc>
          <w:tcPr>
            <w:tcW w:w="864"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1 095</w:t>
            </w:r>
          </w:p>
        </w:tc>
      </w:tr>
      <w:tr w:rsidR="00B446D0" w:rsidRPr="0022374B" w:rsidTr="00CD18E4">
        <w:trPr>
          <w:gridAfter w:val="3"/>
          <w:wAfter w:w="107"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Quatrième</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94,0</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89,1</w:t>
            </w:r>
          </w:p>
        </w:tc>
        <w:tc>
          <w:tcPr>
            <w:tcW w:w="70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270</w:t>
            </w:r>
          </w:p>
        </w:tc>
        <w:tc>
          <w:tcPr>
            <w:tcW w:w="849"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88,0</w:t>
            </w:r>
          </w:p>
        </w:tc>
        <w:tc>
          <w:tcPr>
            <w:tcW w:w="864"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1 133</w:t>
            </w:r>
          </w:p>
        </w:tc>
      </w:tr>
      <w:tr w:rsidR="00B446D0" w:rsidRPr="0022374B" w:rsidTr="00CD18E4">
        <w:trPr>
          <w:gridAfter w:val="3"/>
          <w:wAfter w:w="107" w:type="dxa"/>
          <w:jc w:val="center"/>
        </w:trPr>
        <w:tc>
          <w:tcPr>
            <w:tcW w:w="1299" w:type="dxa"/>
            <w:gridSpan w:val="2"/>
            <w:vAlign w:val="center"/>
          </w:tcPr>
          <w:p w:rsidR="00B446D0" w:rsidRPr="0022374B" w:rsidRDefault="00B446D0" w:rsidP="0022374B">
            <w:pPr>
              <w:widowControl w:val="0"/>
              <w:spacing w:before="120"/>
              <w:ind w:firstLineChars="27" w:firstLine="54"/>
              <w:jc w:val="both"/>
              <w:rPr>
                <w:rFonts w:ascii="Times New Roman" w:hAnsi="Times New Roman"/>
              </w:rPr>
            </w:pPr>
            <w:r w:rsidRPr="0022374B">
              <w:rPr>
                <w:rFonts w:ascii="Times New Roman" w:hAnsi="Times New Roman"/>
              </w:rPr>
              <w:t>Le plus riche</w:t>
            </w:r>
          </w:p>
        </w:tc>
        <w:tc>
          <w:tcPr>
            <w:tcW w:w="90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100</w:t>
            </w:r>
          </w:p>
        </w:tc>
        <w:tc>
          <w:tcPr>
            <w:tcW w:w="855"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44</w:t>
            </w:r>
          </w:p>
        </w:tc>
        <w:tc>
          <w:tcPr>
            <w:tcW w:w="708" w:type="dxa"/>
            <w:gridSpan w:val="2"/>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93,8</w:t>
            </w:r>
          </w:p>
        </w:tc>
        <w:tc>
          <w:tcPr>
            <w:tcW w:w="708"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210</w:t>
            </w:r>
          </w:p>
        </w:tc>
        <w:tc>
          <w:tcPr>
            <w:tcW w:w="849" w:type="dxa"/>
            <w:gridSpan w:val="3"/>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98,1</w:t>
            </w:r>
          </w:p>
        </w:tc>
        <w:tc>
          <w:tcPr>
            <w:tcW w:w="864" w:type="dxa"/>
            <w:gridSpan w:val="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938</w:t>
            </w:r>
          </w:p>
        </w:tc>
      </w:tr>
      <w:tr w:rsidR="00B446D0" w:rsidRPr="0022374B" w:rsidTr="00CD18E4">
        <w:trPr>
          <w:gridAfter w:val="2"/>
          <w:wAfter w:w="89" w:type="dxa"/>
          <w:jc w:val="center"/>
        </w:trPr>
        <w:tc>
          <w:tcPr>
            <w:tcW w:w="6201" w:type="dxa"/>
            <w:gridSpan w:val="16"/>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vertAlign w:val="superscript"/>
              </w:rPr>
              <w:t>1</w:t>
            </w:r>
            <w:r w:rsidRPr="0022374B">
              <w:rPr>
                <w:rFonts w:ascii="Times New Roman" w:hAnsi="Times New Roman"/>
                <w:bCs/>
              </w:rPr>
              <w:t xml:space="preserve"> Indicateur MICS 5.7 ; Indicateur OMD 5.2 - Assistance qualifiée à l'accouchement </w:t>
            </w:r>
          </w:p>
        </w:tc>
      </w:tr>
    </w:tbl>
    <w:p w:rsidR="00B446D0" w:rsidRPr="0022374B" w:rsidRDefault="00B446D0" w:rsidP="0022374B">
      <w:pPr>
        <w:pStyle w:val="Corpsdetexte"/>
        <w:tabs>
          <w:tab w:val="left" w:pos="720"/>
        </w:tabs>
        <w:spacing w:before="120" w:after="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Les adolescentes ne sont pas moins nombreuses que les deux autres groupes de femmes à avoir bénéficié d’une assistance qualifiée à l’accouchement. Le contraste avec les résultats des tableaux précédant sur le suivi de la grossesse est frappant.</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Ce résultat suggère une différence comportementale fondamentale. Une adolescente peut, par inexpérience ou par manque d’autonomie psychologique, financière ou autre, négliger d’effectuer le suivi prénatal, mais ces motifs disparaissent quand il s’agit de l’accouchement proprement dit. On ne voit pas pourquoi elles n’accoucheraient pas, tout comme les autres femmes, en étant assistées par une personne qualifiée.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Autrement dit le fonctionnement de l’offre obstétrique (qui s’adresse à toutes les femmes) est plus décisif que le non respect des recommandations par les adolescentes, comme </w:t>
      </w:r>
      <w:r w:rsidRPr="0022374B">
        <w:rPr>
          <w:rFonts w:ascii="Times New Roman" w:hAnsi="Times New Roman"/>
          <w:sz w:val="24"/>
          <w:szCs w:val="24"/>
        </w:rPr>
        <w:lastRenderedPageBreak/>
        <w:t>nous l’avons dit à propos des visites. Il est en effet impensable que celles-ci soient écartées de la possibilité d’accoucher avec une assistance qualifiée.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Au contraire, on peut même penser que le personnel médical est plus attentif à assurer un bon accouchement à ces jeunes femmes inexpérimentées. Les données confirment cette interprétation. Dans plusieurs des cellules du tableau RH.10, les pourcentages relatifs aux adolescentes sont plus élevés que pour les deux autres groupes de femmes.</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pStyle w:val="Titre2"/>
        <w:keepNext w:val="0"/>
        <w:widowControl w:val="0"/>
        <w:numPr>
          <w:ilvl w:val="1"/>
          <w:numId w:val="1"/>
        </w:numPr>
        <w:spacing w:before="120" w:after="0"/>
        <w:ind w:left="0" w:firstLine="0"/>
        <w:jc w:val="both"/>
        <w:rPr>
          <w:rStyle w:val="2H"/>
          <w:rFonts w:ascii="Times New Roman" w:hAnsi="Times New Roman"/>
          <w:b/>
          <w:bCs/>
          <w:i w:val="0"/>
          <w:iCs/>
          <w:szCs w:val="24"/>
        </w:rPr>
      </w:pPr>
      <w:r w:rsidRPr="0022374B">
        <w:rPr>
          <w:rStyle w:val="2H"/>
          <w:rFonts w:ascii="Times New Roman" w:hAnsi="Times New Roman"/>
          <w:bCs/>
          <w:szCs w:val="24"/>
        </w:rPr>
        <w:t>Examens de santé post-natals</w:t>
      </w:r>
      <w:r w:rsidRPr="0022374B">
        <w:rPr>
          <w:rStyle w:val="2H"/>
          <w:rFonts w:ascii="Times New Roman" w:hAnsi="Times New Roman"/>
          <w:bCs/>
          <w:iCs/>
          <w:szCs w:val="24"/>
        </w:rPr>
        <w:t xml:space="preserve"> </w:t>
      </w:r>
    </w:p>
    <w:p w:rsidR="00B446D0" w:rsidRPr="0022374B" w:rsidRDefault="00B446D0" w:rsidP="0022374B">
      <w:pPr>
        <w:spacing w:before="120"/>
        <w:jc w:val="both"/>
        <w:rPr>
          <w:rFonts w:ascii="Times New Roman" w:hAnsi="Times New Roman"/>
          <w:b/>
          <w:sz w:val="24"/>
          <w:szCs w:val="24"/>
        </w:rPr>
      </w:pPr>
    </w:p>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Le rapport national propose un bilan de cette question, dont voici les principaux points. Partout dans le monde, environ 3 millions de nouveau-nés meurent chaque année durant le premier mois de vie</w:t>
      </w:r>
      <w:r w:rsidRPr="0022374B">
        <w:rPr>
          <w:rStyle w:val="Appelnotedebasdep"/>
          <w:rFonts w:ascii="Times New Roman" w:hAnsi="Times New Roman"/>
          <w:sz w:val="24"/>
          <w:szCs w:val="24"/>
        </w:rPr>
        <w:footnoteReference w:id="4"/>
      </w:r>
      <w:r w:rsidRPr="0022374B">
        <w:rPr>
          <w:rFonts w:ascii="Times New Roman" w:hAnsi="Times New Roman"/>
          <w:sz w:val="24"/>
          <w:szCs w:val="24"/>
        </w:rPr>
        <w:t>, et la majorité de ces décès se produisent dans la première semaine après l’accouchement</w:t>
      </w:r>
      <w:r w:rsidRPr="0022374B">
        <w:rPr>
          <w:rStyle w:val="Appelnotedebasdep"/>
          <w:rFonts w:ascii="Times New Roman" w:hAnsi="Times New Roman"/>
          <w:sz w:val="24"/>
          <w:szCs w:val="24"/>
        </w:rPr>
        <w:footnoteReference w:id="5"/>
      </w:r>
      <w:r w:rsidRPr="0022374B">
        <w:rPr>
          <w:rFonts w:ascii="Times New Roman" w:hAnsi="Times New Roman"/>
          <w:sz w:val="24"/>
          <w:szCs w:val="24"/>
        </w:rPr>
        <w:t>, qui est également le moment où surviennent la majorité des décès maternels</w:t>
      </w:r>
      <w:r w:rsidRPr="0022374B">
        <w:rPr>
          <w:rStyle w:val="Appelnotedebasdep"/>
          <w:rFonts w:ascii="Times New Roman" w:hAnsi="Times New Roman"/>
          <w:sz w:val="24"/>
          <w:szCs w:val="24"/>
        </w:rPr>
        <w:footnoteReference w:id="6"/>
      </w:r>
      <w:r w:rsidRPr="0022374B">
        <w:rPr>
          <w:rFonts w:ascii="Times New Roman" w:hAnsi="Times New Roman"/>
          <w:sz w:val="24"/>
          <w:szCs w:val="24"/>
        </w:rPr>
        <w:t xml:space="preserve">. Cependant, les enquêtes n’ont pas systématiquement inclus les questions relatives à la période post-natale et aux examens reçus par la mère et le nouveau-né. En 2008, l’initiative « Compte à rebours 2015 » </w:t>
      </w:r>
      <w:r w:rsidRPr="0022374B">
        <w:rPr>
          <w:rFonts w:ascii="Times New Roman" w:hAnsi="Times New Roman"/>
          <w:i/>
          <w:iCs/>
          <w:sz w:val="24"/>
          <w:szCs w:val="24"/>
        </w:rPr>
        <w:t>(Countdown to 2015)</w:t>
      </w:r>
      <w:r w:rsidRPr="0022374B">
        <w:rPr>
          <w:rFonts w:ascii="Times New Roman" w:hAnsi="Times New Roman"/>
          <w:sz w:val="24"/>
          <w:szCs w:val="24"/>
        </w:rPr>
        <w:t>, qui suit les progrès des interventions en matière de santé maternelle, néonatale et infantile, a souligné ce manque de données et demandé non seulement le renforcement des programmes de soins post-natals (</w:t>
      </w:r>
      <w:r w:rsidRPr="0022374B">
        <w:rPr>
          <w:rFonts w:ascii="Times New Roman" w:hAnsi="Times New Roman"/>
          <w:i/>
          <w:iCs/>
          <w:sz w:val="24"/>
          <w:szCs w:val="24"/>
        </w:rPr>
        <w:t>Post Natal Care</w:t>
      </w:r>
      <w:r w:rsidRPr="0022374B">
        <w:rPr>
          <w:rFonts w:ascii="Times New Roman" w:hAnsi="Times New Roman"/>
          <w:sz w:val="24"/>
          <w:szCs w:val="24"/>
        </w:rPr>
        <w:t>, PNC), mais aussi une meilleure disponibilité et qualité des données</w:t>
      </w:r>
      <w:r w:rsidRPr="0022374B">
        <w:rPr>
          <w:rStyle w:val="Appelnotedebasdep"/>
          <w:rFonts w:ascii="Times New Roman" w:hAnsi="Times New Roman"/>
          <w:sz w:val="24"/>
          <w:szCs w:val="24"/>
        </w:rPr>
        <w:footnoteReference w:id="7"/>
      </w:r>
      <w:r w:rsidRPr="0022374B">
        <w:rPr>
          <w:rFonts w:ascii="Times New Roman" w:hAnsi="Times New Roman"/>
          <w:sz w:val="24"/>
          <w:szCs w:val="24"/>
        </w:rPr>
        <w:t>. Les programmes de maternité sans risques ont récemment renforcé l'accent sur l'importance des soins post-natals, recommandant que toutes les femmes et les nouveau-nés reçoivent un examen de santé dans les deux jours suivant l’accouchement. Pour évaluer l'ampleur de l'utilisation des soins post-natals, il a été demandé aux femmes si elles, et leur nouveau-né, ont eu un examen de santé après l'accouchement, le moment du premier examen, le type de prestataire de soins de santé pour la dernière naissance de la femme au cours des deux années précédant l'enquête.</w:t>
      </w:r>
    </w:p>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Nous avons retenu un seul de ces indicateurs dans le tableau</w:t>
      </w:r>
      <w:r w:rsidRPr="0022374B">
        <w:rPr>
          <w:rStyle w:val="2H"/>
          <w:rFonts w:ascii="Times New Roman" w:hAnsi="Times New Roman"/>
          <w:szCs w:val="24"/>
        </w:rPr>
        <w:t> </w:t>
      </w:r>
      <w:r w:rsidRPr="0022374B">
        <w:rPr>
          <w:rFonts w:ascii="Times New Roman" w:hAnsi="Times New Roman"/>
          <w:sz w:val="24"/>
          <w:szCs w:val="24"/>
        </w:rPr>
        <w:t>RH.15 ci-après, celui qui nous paraît le plus fondamental dans la perspective d’une implication de l’UNICEF auprès du gouvernement du Bénin : les pourcentages de femmes de 15-49 ans ayant eu une naissance vivante dans les 2 dernières années qui ont bénéficié d'examens de santé pendant qu'elles étaient dans la structure de santé ou à leur domicile après la naissance (Indicateur MICS 5.12).</w:t>
      </w:r>
    </w:p>
    <w:p w:rsidR="00B446D0" w:rsidRPr="0022374B" w:rsidRDefault="00B446D0" w:rsidP="0022374B">
      <w:pPr>
        <w:pStyle w:val="Corpsdetexte"/>
        <w:tabs>
          <w:tab w:val="left" w:pos="720"/>
        </w:tabs>
        <w:spacing w:before="120" w:after="0"/>
        <w:jc w:val="both"/>
        <w:rPr>
          <w:rFonts w:ascii="Times New Roman" w:hAnsi="Times New Roman"/>
          <w:sz w:val="24"/>
          <w:szCs w:val="24"/>
        </w:rPr>
      </w:pPr>
    </w:p>
    <w:p w:rsidR="00B446D0" w:rsidRPr="0022374B" w:rsidRDefault="00B446D0" w:rsidP="008870D4">
      <w:pPr>
        <w:widowControl w:val="0"/>
        <w:spacing w:before="120"/>
        <w:jc w:val="center"/>
        <w:rPr>
          <w:rFonts w:ascii="Times New Roman" w:hAnsi="Times New Roman"/>
          <w:b/>
          <w:sz w:val="24"/>
          <w:szCs w:val="24"/>
        </w:rPr>
      </w:pPr>
      <w:r w:rsidRPr="0022374B">
        <w:rPr>
          <w:rFonts w:ascii="Times New Roman" w:hAnsi="Times New Roman"/>
          <w:b/>
          <w:bCs/>
          <w:sz w:val="24"/>
          <w:szCs w:val="24"/>
        </w:rPr>
        <w:t>Tableau RH.15 : Examens de santé post-natals des mères</w:t>
      </w:r>
    </w:p>
    <w:p w:rsidR="00B446D0" w:rsidRPr="0022374B" w:rsidRDefault="00B446D0" w:rsidP="008870D4">
      <w:pPr>
        <w:widowControl w:val="0"/>
        <w:spacing w:before="120"/>
        <w:ind w:left="426"/>
        <w:jc w:val="both"/>
        <w:rPr>
          <w:rFonts w:ascii="Times New Roman" w:hAnsi="Times New Roman"/>
          <w:b/>
          <w:sz w:val="24"/>
          <w:szCs w:val="24"/>
        </w:rPr>
      </w:pPr>
      <w:r w:rsidRPr="0022374B">
        <w:rPr>
          <w:rFonts w:ascii="Times New Roman" w:hAnsi="Times New Roman"/>
          <w:sz w:val="24"/>
          <w:szCs w:val="24"/>
        </w:rPr>
        <w:t xml:space="preserve">Pourcentage de mères adolescentes (15-19 ans), de </w:t>
      </w:r>
      <w:r w:rsidRPr="0022374B">
        <w:rPr>
          <w:rFonts w:ascii="Times New Roman" w:hAnsi="Times New Roman"/>
          <w:bCs/>
          <w:sz w:val="24"/>
          <w:szCs w:val="24"/>
        </w:rPr>
        <w:t xml:space="preserve">Jeunes mères adultes </w:t>
      </w:r>
      <w:r w:rsidRPr="0022374B">
        <w:rPr>
          <w:rFonts w:ascii="Times New Roman" w:hAnsi="Times New Roman"/>
          <w:sz w:val="24"/>
          <w:szCs w:val="24"/>
        </w:rPr>
        <w:t xml:space="preserve">(20-24 ans) et de l’ensemble des mères (15-49 ans) ayant eu une naissance vivante dans les 2 dernières années qui ont bénéficié d'examens de santé pendant </w:t>
      </w:r>
      <w:r w:rsidRPr="0022374B">
        <w:rPr>
          <w:rFonts w:ascii="Times New Roman" w:hAnsi="Times New Roman"/>
          <w:bCs/>
          <w:sz w:val="24"/>
          <w:szCs w:val="24"/>
        </w:rPr>
        <w:t>qu'elles étaient</w:t>
      </w:r>
      <w:r w:rsidRPr="0022374B">
        <w:rPr>
          <w:rFonts w:ascii="Times New Roman" w:hAnsi="Times New Roman"/>
          <w:sz w:val="24"/>
          <w:szCs w:val="24"/>
        </w:rPr>
        <w:t xml:space="preserve"> dans la structure de santé ou à la maison après la naissance selon les caractéristiques socio-économiques.</w:t>
      </w:r>
    </w:p>
    <w:p w:rsidR="00B446D0" w:rsidRPr="0022374B" w:rsidRDefault="00B446D0" w:rsidP="0022374B">
      <w:pPr>
        <w:pStyle w:val="Corpsdetexte"/>
        <w:tabs>
          <w:tab w:val="left" w:pos="720"/>
        </w:tabs>
        <w:spacing w:before="120" w:after="0"/>
        <w:jc w:val="both"/>
        <w:rPr>
          <w:rFonts w:ascii="Times New Roman" w:hAnsi="Times New Roman"/>
          <w:sz w:val="24"/>
          <w:szCs w:val="24"/>
        </w:rPr>
      </w:pPr>
    </w:p>
    <w:tbl>
      <w:tblPr>
        <w:tblW w:w="8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379"/>
        <w:gridCol w:w="629"/>
        <w:gridCol w:w="1134"/>
        <w:gridCol w:w="670"/>
        <w:gridCol w:w="1114"/>
        <w:gridCol w:w="847"/>
      </w:tblGrid>
      <w:tr w:rsidR="00B446D0" w:rsidRPr="0022374B" w:rsidTr="00CD18E4">
        <w:trPr>
          <w:jc w:val="center"/>
        </w:trPr>
        <w:tc>
          <w:tcPr>
            <w:tcW w:w="2353" w:type="dxa"/>
            <w:vMerge w:val="restart"/>
          </w:tcPr>
          <w:p w:rsidR="00B446D0" w:rsidRPr="0022374B" w:rsidRDefault="00B446D0" w:rsidP="0022374B">
            <w:pPr>
              <w:pStyle w:val="Corpsdetexte"/>
              <w:tabs>
                <w:tab w:val="left" w:pos="720"/>
              </w:tabs>
              <w:spacing w:before="120" w:after="0"/>
              <w:jc w:val="both"/>
              <w:rPr>
                <w:rFonts w:ascii="Times New Roman" w:hAnsi="Times New Roman"/>
                <w:szCs w:val="22"/>
              </w:rPr>
            </w:pPr>
          </w:p>
        </w:tc>
        <w:tc>
          <w:tcPr>
            <w:tcW w:w="2008" w:type="dxa"/>
            <w:gridSpan w:val="2"/>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Mères adolescentes</w:t>
            </w:r>
          </w:p>
        </w:tc>
        <w:tc>
          <w:tcPr>
            <w:tcW w:w="1804" w:type="dxa"/>
            <w:gridSpan w:val="2"/>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Jeunes mères adultes</w:t>
            </w:r>
          </w:p>
        </w:tc>
        <w:tc>
          <w:tcPr>
            <w:tcW w:w="1961" w:type="dxa"/>
            <w:gridSpan w:val="2"/>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Ensemble des mères</w:t>
            </w:r>
          </w:p>
        </w:tc>
      </w:tr>
      <w:tr w:rsidR="00B446D0" w:rsidRPr="0022374B" w:rsidTr="00CD18E4">
        <w:trPr>
          <w:jc w:val="center"/>
        </w:trPr>
        <w:tc>
          <w:tcPr>
            <w:tcW w:w="2353" w:type="dxa"/>
            <w:vMerge/>
          </w:tcPr>
          <w:p w:rsidR="00B446D0" w:rsidRPr="0022374B" w:rsidRDefault="00B446D0" w:rsidP="0022374B">
            <w:pPr>
              <w:pStyle w:val="Corpsdetexte"/>
              <w:tabs>
                <w:tab w:val="left" w:pos="720"/>
              </w:tabs>
              <w:spacing w:before="120" w:after="0"/>
              <w:jc w:val="both"/>
              <w:rPr>
                <w:rFonts w:ascii="Times New Roman" w:hAnsi="Times New Roman"/>
                <w:szCs w:val="22"/>
              </w:rPr>
            </w:pPr>
          </w:p>
        </w:tc>
        <w:tc>
          <w:tcPr>
            <w:tcW w:w="1379" w:type="dxa"/>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Soins postnatals reçus %</w:t>
            </w:r>
          </w:p>
        </w:tc>
        <w:tc>
          <w:tcPr>
            <w:tcW w:w="629" w:type="dxa"/>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N</w:t>
            </w:r>
          </w:p>
        </w:tc>
        <w:tc>
          <w:tcPr>
            <w:tcW w:w="1134" w:type="dxa"/>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Soins postnatals reçus %</w:t>
            </w:r>
          </w:p>
        </w:tc>
        <w:tc>
          <w:tcPr>
            <w:tcW w:w="670" w:type="dxa"/>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N</w:t>
            </w:r>
          </w:p>
        </w:tc>
        <w:tc>
          <w:tcPr>
            <w:tcW w:w="1114" w:type="dxa"/>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Soins postnatals reçus %</w:t>
            </w:r>
          </w:p>
        </w:tc>
        <w:tc>
          <w:tcPr>
            <w:tcW w:w="847" w:type="dxa"/>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N</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Total</w:t>
            </w:r>
          </w:p>
        </w:tc>
        <w:tc>
          <w:tcPr>
            <w:tcW w:w="1379"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70,2</w:t>
            </w:r>
          </w:p>
        </w:tc>
        <w:tc>
          <w:tcPr>
            <w:tcW w:w="629"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369</w:t>
            </w:r>
          </w:p>
        </w:tc>
        <w:tc>
          <w:tcPr>
            <w:tcW w:w="1134"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76,3</w:t>
            </w:r>
          </w:p>
        </w:tc>
        <w:tc>
          <w:tcPr>
            <w:tcW w:w="670"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1260</w:t>
            </w:r>
          </w:p>
        </w:tc>
        <w:tc>
          <w:tcPr>
            <w:tcW w:w="1114"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76,3</w:t>
            </w:r>
          </w:p>
        </w:tc>
        <w:tc>
          <w:tcPr>
            <w:tcW w:w="847" w:type="dxa"/>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5 388</w:t>
            </w:r>
          </w:p>
        </w:tc>
      </w:tr>
      <w:tr w:rsidR="00B446D0" w:rsidRPr="0022374B" w:rsidTr="00CD18E4">
        <w:trPr>
          <w:jc w:val="center"/>
        </w:trPr>
        <w:tc>
          <w:tcPr>
            <w:tcW w:w="8126" w:type="dxa"/>
            <w:gridSpan w:val="7"/>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Département</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Alibori</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72,5</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30</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61,4</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65,0</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381</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Atacora</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82,6</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34</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81,6</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126</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77,9</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466</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Atlantique</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70,6</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43</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78,2</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160</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80,6</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793</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Borgou</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46,3</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54,1</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155</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49,8</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616</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Collines</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89,2</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86,2</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86,3</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387</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Couffo</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89,2</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73,5</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103</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84,9</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497</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Donga</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80,6</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20</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75,2</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75,5</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276</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Littoral</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84,6</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86,6</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88,3</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301</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Mono</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59,2</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80,2</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77</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78,5</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290</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Ouémé</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61,1</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28</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84,5</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154</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80,2</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614</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Plateau</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70,2</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29</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79,2</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79,0</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351</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Zou</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80,2</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32</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84,6</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96</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78,8</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416</w:t>
            </w:r>
          </w:p>
        </w:tc>
      </w:tr>
      <w:tr w:rsidR="00B446D0" w:rsidRPr="0022374B" w:rsidTr="00CD18E4">
        <w:trPr>
          <w:jc w:val="center"/>
        </w:trPr>
        <w:tc>
          <w:tcPr>
            <w:tcW w:w="8126" w:type="dxa"/>
            <w:gridSpan w:val="7"/>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Milieu de résidence</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Urbain</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78,8</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138</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81,5</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547</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81,4</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2 331</w:t>
            </w:r>
          </w:p>
        </w:tc>
      </w:tr>
      <w:tr w:rsidR="00B446D0" w:rsidRPr="0022374B" w:rsidTr="00CD18E4">
        <w:trPr>
          <w:jc w:val="center"/>
        </w:trPr>
        <w:tc>
          <w:tcPr>
            <w:tcW w:w="235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Rural</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65,1</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231</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72,2</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712</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72,5</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3 057</w:t>
            </w:r>
          </w:p>
        </w:tc>
      </w:tr>
      <w:tr w:rsidR="00B446D0" w:rsidRPr="0022374B" w:rsidTr="00CD18E4">
        <w:trPr>
          <w:jc w:val="center"/>
        </w:trPr>
        <w:tc>
          <w:tcPr>
            <w:tcW w:w="8126" w:type="dxa"/>
            <w:gridSpan w:val="7"/>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Niveau d’instruction</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Aucune</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56,1</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166</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67,5</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624</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70,5</w:t>
            </w:r>
          </w:p>
        </w:tc>
        <w:tc>
          <w:tcPr>
            <w:tcW w:w="84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3 303</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Primaire</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81,8</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111</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84,4</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331</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84,8</w:t>
            </w:r>
          </w:p>
        </w:tc>
        <w:tc>
          <w:tcPr>
            <w:tcW w:w="84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1 251</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Secondaire 1</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80,6</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84,0</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245</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84,1</w:t>
            </w:r>
          </w:p>
        </w:tc>
        <w:tc>
          <w:tcPr>
            <w:tcW w:w="84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591</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Secondaire 2 ou plus</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92,3</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91,1</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60</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93,3</w:t>
            </w:r>
          </w:p>
        </w:tc>
        <w:tc>
          <w:tcPr>
            <w:tcW w:w="847"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242</w:t>
            </w:r>
          </w:p>
        </w:tc>
      </w:tr>
      <w:tr w:rsidR="00B446D0" w:rsidRPr="0022374B" w:rsidTr="00CD18E4">
        <w:trPr>
          <w:jc w:val="center"/>
        </w:trPr>
        <w:tc>
          <w:tcPr>
            <w:tcW w:w="8126" w:type="dxa"/>
            <w:gridSpan w:val="7"/>
            <w:vAlign w:val="center"/>
          </w:tcPr>
          <w:p w:rsidR="00B446D0" w:rsidRPr="0022374B" w:rsidRDefault="00B446D0" w:rsidP="0022374B">
            <w:pPr>
              <w:pStyle w:val="Corpsdetexte"/>
              <w:tabs>
                <w:tab w:val="left" w:pos="720"/>
              </w:tabs>
              <w:spacing w:before="120" w:after="0"/>
              <w:jc w:val="both"/>
              <w:rPr>
                <w:rFonts w:ascii="Times New Roman" w:hAnsi="Times New Roman"/>
                <w:szCs w:val="22"/>
              </w:rPr>
            </w:pPr>
            <w:r w:rsidRPr="0022374B">
              <w:rPr>
                <w:rFonts w:ascii="Times New Roman" w:hAnsi="Times New Roman"/>
                <w:szCs w:val="22"/>
              </w:rPr>
              <w:t>Bien-être</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Le plus pauvre</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55,0</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83</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63,9</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233</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61,7</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1 095</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Second</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69,2</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70,6</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277</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72,2</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1 127</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Moyen</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66,3</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88</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78,3</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269</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77,5</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1 095</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Quatrième</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79,3</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75</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78,9</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270</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82,3</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1 133</w:t>
            </w:r>
          </w:p>
        </w:tc>
      </w:tr>
      <w:tr w:rsidR="00B446D0" w:rsidRPr="0022374B" w:rsidTr="00CD18E4">
        <w:trPr>
          <w:jc w:val="center"/>
        </w:trPr>
        <w:tc>
          <w:tcPr>
            <w:tcW w:w="2353"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Le plus riche</w:t>
            </w:r>
          </w:p>
        </w:tc>
        <w:tc>
          <w:tcPr>
            <w:tcW w:w="137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93,1</w:t>
            </w:r>
          </w:p>
        </w:tc>
        <w:tc>
          <w:tcPr>
            <w:tcW w:w="629"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44</w:t>
            </w:r>
          </w:p>
        </w:tc>
        <w:tc>
          <w:tcPr>
            <w:tcW w:w="113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91,3</w:t>
            </w:r>
          </w:p>
        </w:tc>
        <w:tc>
          <w:tcPr>
            <w:tcW w:w="670"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210</w:t>
            </w:r>
          </w:p>
        </w:tc>
        <w:tc>
          <w:tcPr>
            <w:tcW w:w="1114" w:type="dxa"/>
            <w:vAlign w:val="bottom"/>
          </w:tcPr>
          <w:p w:rsidR="00B446D0" w:rsidRPr="0022374B" w:rsidRDefault="00B446D0" w:rsidP="0022374B">
            <w:pPr>
              <w:spacing w:before="120"/>
              <w:jc w:val="both"/>
              <w:rPr>
                <w:rFonts w:ascii="Times New Roman" w:hAnsi="Times New Roman"/>
              </w:rPr>
            </w:pPr>
            <w:r w:rsidRPr="0022374B">
              <w:rPr>
                <w:rFonts w:ascii="Times New Roman" w:hAnsi="Times New Roman"/>
              </w:rPr>
              <w:t>89,7</w:t>
            </w:r>
          </w:p>
        </w:tc>
        <w:tc>
          <w:tcPr>
            <w:tcW w:w="84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938</w:t>
            </w:r>
          </w:p>
        </w:tc>
      </w:tr>
    </w:tbl>
    <w:p w:rsidR="00B446D0" w:rsidRPr="0022374B" w:rsidRDefault="00B446D0" w:rsidP="0022374B">
      <w:pPr>
        <w:pStyle w:val="Corpsdetexte"/>
        <w:tabs>
          <w:tab w:val="left" w:pos="720"/>
        </w:tabs>
        <w:spacing w:before="120" w:after="0"/>
        <w:jc w:val="both"/>
        <w:rPr>
          <w:rFonts w:ascii="Times New Roman" w:hAnsi="Times New Roman"/>
          <w:b/>
          <w:sz w:val="24"/>
          <w:szCs w:val="24"/>
        </w:rPr>
      </w:pPr>
    </w:p>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Comme pour le suivi néonatal, et contrairement à l’assistance à l’accouchement, les adolescentes sont moins suivies après la naissance (70,2 % contre 76,3 % pour le deux autres groupes de femmes). </w:t>
      </w:r>
    </w:p>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lastRenderedPageBreak/>
        <w:t>Dans les trois groupes de femmes, les variables d’analyse jouent dans le même sens, qu’il s’agisse du département, du lieu de résidence, du niveau d’instruction ou de bien-être. Seuls les départements varient.</w:t>
      </w:r>
    </w:p>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 La vulnérabilité spécifique des adolescentes persiste pour celles qui sont les plus défavorisés. Si l’on compare la proportion d’adolescentes et de jeunes mères ayant reçu des soins postnatals, l’écart est plus fort entre les deux groupes parmi les femmes analphabètes et celles du quintile le plus bas </w:t>
      </w:r>
    </w:p>
    <w:p w:rsidR="00B446D0" w:rsidRPr="0022374B" w:rsidRDefault="00B446D0" w:rsidP="0022374B">
      <w:pPr>
        <w:pStyle w:val="Corpsdetexte"/>
        <w:tabs>
          <w:tab w:val="left" w:pos="720"/>
        </w:tabs>
        <w:spacing w:before="120" w:after="0"/>
        <w:jc w:val="both"/>
        <w:rPr>
          <w:rFonts w:ascii="Times New Roman" w:hAnsi="Times New Roman"/>
          <w:sz w:val="24"/>
          <w:szCs w:val="24"/>
        </w:rPr>
      </w:pPr>
    </w:p>
    <w:p w:rsidR="00B446D0" w:rsidRPr="0022374B" w:rsidRDefault="00B446D0" w:rsidP="00CD18E4">
      <w:pPr>
        <w:widowControl w:val="0"/>
        <w:spacing w:before="120"/>
        <w:jc w:val="center"/>
        <w:rPr>
          <w:rFonts w:ascii="Times New Roman" w:hAnsi="Times New Roman"/>
          <w:b/>
          <w:bCs/>
          <w:sz w:val="24"/>
          <w:szCs w:val="24"/>
        </w:rPr>
      </w:pPr>
      <w:r w:rsidRPr="0022374B">
        <w:rPr>
          <w:rFonts w:ascii="Times New Roman" w:hAnsi="Times New Roman"/>
          <w:b/>
          <w:bCs/>
          <w:sz w:val="24"/>
          <w:szCs w:val="24"/>
        </w:rPr>
        <w:t>Tableau RH.15bis : Vulnérabilité des adolescentes</w:t>
      </w:r>
    </w:p>
    <w:p w:rsidR="00B446D0" w:rsidRPr="0022374B" w:rsidRDefault="00B446D0" w:rsidP="00CD18E4">
      <w:pPr>
        <w:widowControl w:val="0"/>
        <w:spacing w:before="120"/>
        <w:jc w:val="center"/>
        <w:rPr>
          <w:rFonts w:ascii="Times New Roman" w:hAnsi="Times New Roman"/>
          <w:bCs/>
          <w:sz w:val="24"/>
          <w:szCs w:val="24"/>
        </w:rPr>
      </w:pPr>
    </w:p>
    <w:p w:rsidR="00B446D0" w:rsidRPr="0022374B" w:rsidRDefault="00B446D0" w:rsidP="00CD18E4">
      <w:pPr>
        <w:widowControl w:val="0"/>
        <w:spacing w:before="120"/>
        <w:jc w:val="center"/>
        <w:rPr>
          <w:rFonts w:ascii="Times New Roman" w:hAnsi="Times New Roman"/>
          <w:sz w:val="24"/>
          <w:szCs w:val="24"/>
        </w:rPr>
      </w:pPr>
      <w:r w:rsidRPr="0022374B">
        <w:rPr>
          <w:rFonts w:ascii="Times New Roman" w:hAnsi="Times New Roman"/>
          <w:bCs/>
          <w:sz w:val="24"/>
          <w:szCs w:val="24"/>
        </w:rPr>
        <w:t>(Fréquence des examens santé post-natals)</w:t>
      </w:r>
    </w:p>
    <w:tbl>
      <w:tblPr>
        <w:tblStyle w:val="Grilledutableau"/>
        <w:tblW w:w="0" w:type="auto"/>
        <w:jc w:val="center"/>
        <w:tblLook w:val="04A0" w:firstRow="1" w:lastRow="0" w:firstColumn="1" w:lastColumn="0" w:noHBand="0" w:noVBand="1"/>
      </w:tblPr>
      <w:tblGrid>
        <w:gridCol w:w="1842"/>
        <w:gridCol w:w="1842"/>
        <w:gridCol w:w="1842"/>
        <w:gridCol w:w="1843"/>
      </w:tblGrid>
      <w:tr w:rsidR="00B446D0" w:rsidRPr="0022374B" w:rsidTr="00CD18E4">
        <w:trPr>
          <w:jc w:val="center"/>
        </w:trPr>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Mères adolescentes </w:t>
            </w: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Jeunes mère adultes </w:t>
            </w:r>
          </w:p>
        </w:tc>
        <w:tc>
          <w:tcPr>
            <w:tcW w:w="1843"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Déficit par rapport aux jeunes mères</w:t>
            </w:r>
          </w:p>
        </w:tc>
      </w:tr>
      <w:tr w:rsidR="00B446D0" w:rsidRPr="0022374B" w:rsidTr="00CD18E4">
        <w:trPr>
          <w:jc w:val="center"/>
        </w:trPr>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Ensemble du groupe </w:t>
            </w: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70,67</w:t>
            </w: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76,3</w:t>
            </w:r>
          </w:p>
        </w:tc>
        <w:tc>
          <w:tcPr>
            <w:tcW w:w="1843"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7 %</w:t>
            </w:r>
          </w:p>
        </w:tc>
      </w:tr>
      <w:tr w:rsidR="00B446D0" w:rsidRPr="0022374B" w:rsidTr="00CD18E4">
        <w:trPr>
          <w:jc w:val="center"/>
        </w:trPr>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Analphabètes</w:t>
            </w: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56,1</w:t>
            </w: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67,5</w:t>
            </w:r>
          </w:p>
        </w:tc>
        <w:tc>
          <w:tcPr>
            <w:tcW w:w="1843"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16 %</w:t>
            </w:r>
          </w:p>
        </w:tc>
      </w:tr>
      <w:tr w:rsidR="00B446D0" w:rsidRPr="0022374B" w:rsidTr="00CD18E4">
        <w:trPr>
          <w:jc w:val="center"/>
        </w:trPr>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10% les plus pauvres </w:t>
            </w: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55,0</w:t>
            </w:r>
          </w:p>
        </w:tc>
        <w:tc>
          <w:tcPr>
            <w:tcW w:w="1842"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63,9</w:t>
            </w:r>
          </w:p>
        </w:tc>
        <w:tc>
          <w:tcPr>
            <w:tcW w:w="1843" w:type="dxa"/>
          </w:tcPr>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15 %</w:t>
            </w:r>
          </w:p>
        </w:tc>
      </w:tr>
    </w:tbl>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pBdr>
          <w:top w:val="single" w:sz="4" w:space="1" w:color="auto"/>
          <w:left w:val="single" w:sz="4" w:space="4" w:color="auto"/>
          <w:bottom w:val="single" w:sz="4" w:space="1" w:color="auto"/>
          <w:right w:val="single" w:sz="4" w:space="4" w:color="auto"/>
        </w:pBdr>
        <w:spacing w:before="120"/>
        <w:jc w:val="both"/>
        <w:rPr>
          <w:rFonts w:ascii="Times New Roman" w:hAnsi="Times New Roman"/>
          <w:b/>
          <w:sz w:val="24"/>
          <w:szCs w:val="24"/>
        </w:rPr>
      </w:pPr>
      <w:r w:rsidRPr="0022374B">
        <w:rPr>
          <w:rFonts w:ascii="Times New Roman" w:hAnsi="Times New Roman"/>
          <w:b/>
          <w:sz w:val="24"/>
          <w:szCs w:val="24"/>
        </w:rPr>
        <w:t xml:space="preserve">3. SYNTHESE ET RECOMMANDATIONS PROGRAMMATIQUES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 même constat que celui établi pour le sous-thème 2.1 peut être fait. Les adolescentes ne se distinguent pas fondamentalement ni des jeunes adultes ni de l’ensemble des femmes, mais l’analyse approfondie des données révèle une réalité assez complexe.</w:t>
      </w:r>
    </w:p>
    <w:p w:rsidR="00B446D0" w:rsidRPr="0022374B" w:rsidRDefault="00B446D0" w:rsidP="0022374B">
      <w:pPr>
        <w:widowControl w:val="0"/>
        <w:spacing w:before="120"/>
        <w:jc w:val="both"/>
        <w:rPr>
          <w:rFonts w:ascii="Times New Roman" w:hAnsi="Times New Roman"/>
          <w:sz w:val="24"/>
          <w:szCs w:val="24"/>
        </w:rPr>
      </w:pPr>
    </w:p>
    <w:p w:rsidR="00B446D0" w:rsidRDefault="00B446D0" w:rsidP="00CD18E4">
      <w:pPr>
        <w:widowControl w:val="0"/>
        <w:spacing w:before="120"/>
        <w:jc w:val="center"/>
        <w:rPr>
          <w:rFonts w:ascii="Times New Roman" w:hAnsi="Times New Roman"/>
          <w:b/>
          <w:sz w:val="24"/>
          <w:szCs w:val="24"/>
        </w:rPr>
      </w:pPr>
      <w:r w:rsidRPr="0022374B">
        <w:rPr>
          <w:rFonts w:ascii="Times New Roman" w:hAnsi="Times New Roman"/>
          <w:b/>
          <w:sz w:val="24"/>
          <w:szCs w:val="24"/>
        </w:rPr>
        <w:t>Tableau de synthèse 1. Spécificité des adolescentes par rapport aux Jeunes adultes et à l’Ensemble des femmes</w:t>
      </w:r>
    </w:p>
    <w:p w:rsidR="00CD18E4" w:rsidRPr="0022374B" w:rsidRDefault="00CD18E4" w:rsidP="00CD18E4">
      <w:pPr>
        <w:widowControl w:val="0"/>
        <w:spacing w:before="120"/>
        <w:jc w:val="center"/>
        <w:rPr>
          <w:rFonts w:ascii="Times New Roman" w:hAnsi="Times New Roman"/>
          <w:b/>
          <w:sz w:val="24"/>
          <w:szCs w:val="24"/>
        </w:rPr>
      </w:pPr>
    </w:p>
    <w:tbl>
      <w:tblPr>
        <w:tblStyle w:val="Grilledutableau"/>
        <w:tblW w:w="0" w:type="auto"/>
        <w:tblLook w:val="04A0" w:firstRow="1" w:lastRow="0" w:firstColumn="1" w:lastColumn="0" w:noHBand="0" w:noVBand="1"/>
      </w:tblPr>
      <w:tblGrid>
        <w:gridCol w:w="2231"/>
        <w:gridCol w:w="2211"/>
        <w:gridCol w:w="2211"/>
        <w:gridCol w:w="2211"/>
      </w:tblGrid>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Facteur de vulnérabilité ou de réduction de risque</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Adolescentes</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Jeunes adultes</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Ensemble des femmes</w:t>
            </w: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Grossesses précoces (Tableau RH.3)</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 Donga, Plateau</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 Atacora,</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Alibori, Borgou, Atacora, Collines</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socioculturelle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Analphabétisme</w:t>
            </w:r>
          </w:p>
        </w:tc>
      </w:tr>
      <w:tr w:rsidR="00B446D0" w:rsidRPr="0022374B" w:rsidTr="00CD18E4">
        <w:trPr>
          <w:trHeight w:val="595"/>
        </w:trPr>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socioéconomique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20 % les plus pauvres</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20 % les plus pauvres</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20% les plus pauvres</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lastRenderedPageBreak/>
              <w:t>Aucun soin prénatal reçu (Tableau RH.7)</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 Donga</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 Donga</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socioculturelle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socioéconomique </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c>
          <w:tcPr>
            <w:tcW w:w="230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Aucune consultation prénatale (Tableau RH.8)</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Borgou, Alibori </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socioculturelle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socioéconomique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Pas d’assistance qualifiée à l’accouchement (Tableau RH.10)</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Borgou </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 xml:space="preserve">Rural </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socioculturelle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socioéconomique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20 % les plus pauvres</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Aucune consultation postnatale (Tableau RH.15)</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Borgou </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hideMark/>
          </w:tcPr>
          <w:p w:rsidR="00B446D0" w:rsidRPr="0022374B" w:rsidRDefault="00B446D0" w:rsidP="0022374B">
            <w:pPr>
              <w:spacing w:before="120"/>
              <w:jc w:val="both"/>
              <w:rPr>
                <w:rFonts w:ascii="Times New Roman" w:hAnsi="Times New Roman"/>
                <w:sz w:val="24"/>
                <w:szCs w:val="24"/>
              </w:rPr>
            </w:pPr>
            <w:r w:rsidRPr="0022374B">
              <w:rPr>
                <w:rFonts w:ascii="Times New Roman" w:hAnsi="Times New Roman"/>
                <w:sz w:val="24"/>
                <w:szCs w:val="24"/>
              </w:rPr>
              <w:t>Rural</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socioculturelle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Analphabétisme</w:t>
            </w:r>
          </w:p>
        </w:tc>
      </w:tr>
      <w:tr w:rsidR="00B446D0" w:rsidRPr="0022374B" w:rsidTr="00CD18E4">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Dimension socioéconomique </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c>
          <w:tcPr>
            <w:tcW w:w="2303" w:type="dxa"/>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10 % les plus pauvres</w:t>
            </w:r>
          </w:p>
        </w:tc>
      </w:tr>
    </w:tbl>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Le deuxième enseignement majeur de l’enquête est que l’on retrouve des écarts finalement comparables dans les trois groupes de femmes, lorsque l’on prend en compte les catégories d’analyse : département et milieu de résidence et milieu de résidence, le niveau d’instruction et de bien-être. </w:t>
      </w:r>
    </w:p>
    <w:p w:rsidR="00B446D0" w:rsidRPr="0022374B" w:rsidRDefault="00B446D0" w:rsidP="0022374B">
      <w:pPr>
        <w:widowControl w:val="0"/>
        <w:spacing w:before="120"/>
        <w:jc w:val="both"/>
        <w:rPr>
          <w:rStyle w:val="2H"/>
          <w:rFonts w:ascii="Times New Roman" w:hAnsi="Times New Roman"/>
          <w:b w:val="0"/>
          <w:bCs/>
          <w:iCs/>
          <w:szCs w:val="24"/>
        </w:rPr>
      </w:pPr>
      <w:r w:rsidRPr="0022374B">
        <w:rPr>
          <w:rFonts w:ascii="Times New Roman" w:hAnsi="Times New Roman"/>
          <w:sz w:val="24"/>
          <w:szCs w:val="24"/>
        </w:rPr>
        <w:t xml:space="preserve">Ces deux constats conduisent à conclure que le groupe des adolescentes ne constitue pas une catégorie radicalement différente des autres femmes. Mais les </w:t>
      </w:r>
      <w:r w:rsidRPr="0022374B">
        <w:rPr>
          <w:rStyle w:val="2H"/>
          <w:rFonts w:ascii="Times New Roman" w:hAnsi="Times New Roman"/>
          <w:b w:val="0"/>
          <w:iCs/>
          <w:szCs w:val="24"/>
        </w:rPr>
        <w:t xml:space="preserve"> proportions de </w:t>
      </w:r>
      <w:r w:rsidRPr="0022374B">
        <w:rPr>
          <w:rStyle w:val="2H"/>
          <w:rFonts w:ascii="Times New Roman" w:hAnsi="Times New Roman"/>
          <w:b w:val="0"/>
          <w:iCs/>
          <w:szCs w:val="24"/>
        </w:rPr>
        <w:lastRenderedPageBreak/>
        <w:t xml:space="preserve">grossesses précoces suggèrent un net recul de ce comportement parmi elles. On l’a dit, ce recul peut traduire une logique de moindre prise de risque qui pourrait s’expliquer par une meilleure conscience des risques de grossesses liées à une sexualité occasionnelle et/ou par une moindre fréquence des relations sexuelles précoces, un e utilisation plus fréquente de la contraception et/ou des avortements plus fréquents. Des études qualitatives pourraient utilement éclairer cette modification du comportement des adolescentes. </w:t>
      </w:r>
    </w:p>
    <w:p w:rsidR="00B446D0" w:rsidRPr="0022374B" w:rsidRDefault="00B446D0" w:rsidP="0022374B">
      <w:pPr>
        <w:widowControl w:val="0"/>
        <w:spacing w:before="120"/>
        <w:jc w:val="both"/>
        <w:rPr>
          <w:rStyle w:val="2H"/>
          <w:rFonts w:ascii="Times New Roman" w:hAnsi="Times New Roman"/>
          <w:b w:val="0"/>
          <w:bCs/>
          <w:iCs/>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En matière de couverture des soins prénatals, les deux indicateurs  retenus (a</w:t>
      </w:r>
      <w:r w:rsidRPr="0022374B">
        <w:rPr>
          <w:rFonts w:ascii="Times New Roman" w:hAnsi="Times New Roman"/>
          <w:sz w:val="24"/>
          <w:szCs w:val="24"/>
        </w:rPr>
        <w:t xml:space="preserve">ucun soin prénatal ; pas  de suivi par  un agent qualifié) montre que l’hypothèse spécifique d’une vulnérabilité spécifique des adolescentes par rapport aux jeunes adultes est partiellement validée. Elle est vérifiée pour l’absence de soins prénatals. Elle n’est pourtant pas invalidée pour le recours à du personnel qualifié. Les deux indicateurs ne sont pas vraiment comparables  le second recouvre bien plus de cas de figure possibles que le premier. Le non recours à des personnels qualifiés peut être compensé par le recours à d’autres types de personnels avec pour effet de réduire la vulnérabilité des adolescentes. Il n’ya donc pas de  contradiction.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Le nombre de consultations prénatales (t</w:t>
      </w:r>
      <w:r w:rsidRPr="0022374B">
        <w:rPr>
          <w:rFonts w:ascii="Times New Roman" w:hAnsi="Times New Roman"/>
          <w:bCs/>
          <w:sz w:val="24"/>
          <w:szCs w:val="24"/>
        </w:rPr>
        <w:t>ableau</w:t>
      </w:r>
      <w:r w:rsidRPr="0022374B">
        <w:rPr>
          <w:rFonts w:ascii="Times New Roman" w:hAnsi="Times New Roman"/>
          <w:sz w:val="24"/>
          <w:szCs w:val="24"/>
        </w:rPr>
        <w:t xml:space="preserve"> RH.8) confirme l’hypothèse d’une sur-vulnérabilité des adolescentes, qui se vérifie toujours, à caractéristiques égales</w:t>
      </w:r>
    </w:p>
    <w:p w:rsidR="00B446D0" w:rsidRPr="0022374B" w:rsidRDefault="00B446D0" w:rsidP="0022374B">
      <w:pPr>
        <w:pStyle w:val="Titre2"/>
        <w:keepNext w:val="0"/>
        <w:widowControl w:val="0"/>
        <w:spacing w:before="120" w:after="0"/>
        <w:jc w:val="both"/>
        <w:rPr>
          <w:rFonts w:ascii="Times New Roman" w:hAnsi="Times New Roman"/>
          <w:szCs w:val="24"/>
        </w:rPr>
      </w:pPr>
      <w:r w:rsidRPr="0022374B">
        <w:rPr>
          <w:rStyle w:val="2H"/>
          <w:rFonts w:ascii="Times New Roman" w:hAnsi="Times New Roman"/>
          <w:bCs/>
          <w:szCs w:val="24"/>
        </w:rPr>
        <w:t>L’assistance à l’accouchement  (t</w:t>
      </w:r>
      <w:r w:rsidRPr="0022374B">
        <w:rPr>
          <w:rFonts w:ascii="Times New Roman" w:hAnsi="Times New Roman"/>
          <w:b w:val="0"/>
          <w:szCs w:val="24"/>
        </w:rPr>
        <w:t>ableau RH.8</w:t>
      </w:r>
      <w:r w:rsidRPr="0022374B">
        <w:rPr>
          <w:rFonts w:ascii="Times New Roman" w:hAnsi="Times New Roman"/>
          <w:szCs w:val="24"/>
        </w:rPr>
        <w:t xml:space="preserve">) </w:t>
      </w:r>
      <w:r w:rsidRPr="0022374B">
        <w:rPr>
          <w:rStyle w:val="2H"/>
          <w:rFonts w:ascii="Times New Roman" w:hAnsi="Times New Roman"/>
          <w:bCs/>
          <w:szCs w:val="24"/>
        </w:rPr>
        <w:t xml:space="preserve">révèle un résultat intéressant.  Le suivi prénatal est moins bon pour les adolescentes  mais les accouchements assistés sont tout aussi fréquents. L’offre de santé n’est pas en cause, mais s’explique par la demande par les  adolescentes en l’occurrence leur comportement de prévention. Effectuer les quatre visites est moins bien intériorisé par les adolescentes que les jeunes adultes. Ceci s’explique probablement par leur vulnérabilité socioéconomique et sociale plus grande.  </w:t>
      </w:r>
    </w:p>
    <w:p w:rsidR="00B446D0" w:rsidRPr="0022374B" w:rsidRDefault="00B446D0" w:rsidP="0022374B">
      <w:pPr>
        <w:pStyle w:val="Corpsdetexte"/>
        <w:tabs>
          <w:tab w:val="left" w:pos="720"/>
        </w:tabs>
        <w:spacing w:before="120" w:after="0"/>
        <w:jc w:val="both"/>
        <w:rPr>
          <w:rFonts w:ascii="Times New Roman" w:hAnsi="Times New Roman"/>
          <w:sz w:val="24"/>
          <w:szCs w:val="24"/>
        </w:rPr>
      </w:pPr>
      <w:r w:rsidRPr="0022374B">
        <w:rPr>
          <w:rFonts w:ascii="Times New Roman" w:hAnsi="Times New Roman"/>
          <w:sz w:val="24"/>
          <w:szCs w:val="24"/>
        </w:rPr>
        <w:t xml:space="preserve">Enfin, comme pour le suivi néonatal, les adolescentes sont moins suivies après la naissance (tableau RH. 15). </w:t>
      </w:r>
    </w:p>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CD18E4">
      <w:pPr>
        <w:widowControl w:val="0"/>
        <w:spacing w:before="120"/>
        <w:jc w:val="center"/>
        <w:rPr>
          <w:rFonts w:ascii="Times New Roman" w:hAnsi="Times New Roman"/>
          <w:b/>
          <w:sz w:val="24"/>
          <w:szCs w:val="24"/>
        </w:rPr>
      </w:pPr>
      <w:r w:rsidRPr="0022374B">
        <w:rPr>
          <w:rFonts w:ascii="Times New Roman" w:hAnsi="Times New Roman"/>
          <w:b/>
          <w:sz w:val="24"/>
          <w:szCs w:val="24"/>
        </w:rPr>
        <w:t>Tableau de synthèse 2 : Profils de vulnérabilité des adolescentes</w:t>
      </w:r>
    </w:p>
    <w:p w:rsidR="00B446D0" w:rsidRPr="0022374B" w:rsidRDefault="00B446D0" w:rsidP="0022374B">
      <w:pPr>
        <w:widowControl w:val="0"/>
        <w:spacing w:before="120"/>
        <w:jc w:val="both"/>
        <w:rPr>
          <w:rFonts w:ascii="Times New Roman" w:hAnsi="Times New Roman"/>
          <w:b/>
          <w:sz w:val="24"/>
          <w:szCs w:val="24"/>
        </w:rPr>
      </w:pPr>
    </w:p>
    <w:tbl>
      <w:tblPr>
        <w:tblStyle w:val="Grilledutableau"/>
        <w:tblW w:w="0" w:type="auto"/>
        <w:tblLook w:val="04A0" w:firstRow="1" w:lastRow="0" w:firstColumn="1" w:lastColumn="0" w:noHBand="0" w:noVBand="1"/>
      </w:tblPr>
      <w:tblGrid>
        <w:gridCol w:w="2242"/>
        <w:gridCol w:w="1485"/>
        <w:gridCol w:w="1520"/>
        <w:gridCol w:w="1785"/>
        <w:gridCol w:w="1832"/>
      </w:tblGrid>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Comportement </w:t>
            </w:r>
          </w:p>
        </w:tc>
        <w:tc>
          <w:tcPr>
            <w:tcW w:w="149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Socio-culturel</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Economique</w:t>
            </w:r>
          </w:p>
        </w:tc>
      </w:tr>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sz w:val="24"/>
                <w:szCs w:val="24"/>
              </w:rPr>
              <w:t>Grossesses précoces (Tableau RH.3)</w:t>
            </w:r>
          </w:p>
        </w:tc>
        <w:tc>
          <w:tcPr>
            <w:tcW w:w="149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Donga</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Analphabètes </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10 % les plus pauvres </w:t>
            </w:r>
          </w:p>
        </w:tc>
      </w:tr>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Aucune consultation prénatale reçue (Tableau RH.7)</w:t>
            </w:r>
          </w:p>
        </w:tc>
        <w:tc>
          <w:tcPr>
            <w:tcW w:w="149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Analphabètes </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10 % les plus pauvres </w:t>
            </w:r>
          </w:p>
        </w:tc>
      </w:tr>
      <w:tr w:rsidR="00B446D0" w:rsidRPr="0022374B" w:rsidTr="00CD18E4">
        <w:trPr>
          <w:trHeight w:val="680"/>
        </w:trPr>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Aucune consultation prénatale (Tableau RH.8)</w:t>
            </w:r>
          </w:p>
        </w:tc>
        <w:tc>
          <w:tcPr>
            <w:tcW w:w="1493" w:type="dxa"/>
            <w:tcBorders>
              <w:top w:val="single" w:sz="4" w:space="0" w:color="auto"/>
              <w:left w:val="single" w:sz="4" w:space="0" w:color="auto"/>
              <w:bottom w:val="single" w:sz="4" w:space="0" w:color="auto"/>
              <w:right w:val="single" w:sz="4" w:space="0" w:color="auto"/>
            </w:tcBorders>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 Alibori</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Analphabètes </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10 % les plus pauvres </w:t>
            </w:r>
          </w:p>
        </w:tc>
      </w:tr>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Pas d’assistance qualifiée à l’accouchement </w:t>
            </w:r>
            <w:r w:rsidRPr="0022374B">
              <w:rPr>
                <w:rFonts w:ascii="Times New Roman" w:hAnsi="Times New Roman"/>
                <w:sz w:val="24"/>
                <w:szCs w:val="24"/>
              </w:rPr>
              <w:lastRenderedPageBreak/>
              <w:t>(Tableau RH.10)</w:t>
            </w:r>
          </w:p>
        </w:tc>
        <w:tc>
          <w:tcPr>
            <w:tcW w:w="149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lastRenderedPageBreak/>
              <w:t>Borgou</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Analphabètes </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20 % les plus pauvres </w:t>
            </w:r>
          </w:p>
        </w:tc>
      </w:tr>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Aucune consultation postnatale (Tableau RH.15)</w:t>
            </w:r>
          </w:p>
        </w:tc>
        <w:tc>
          <w:tcPr>
            <w:tcW w:w="1493" w:type="dxa"/>
            <w:tcBorders>
              <w:top w:val="single" w:sz="4" w:space="0" w:color="auto"/>
              <w:left w:val="single" w:sz="4" w:space="0" w:color="auto"/>
              <w:bottom w:val="single" w:sz="4" w:space="0" w:color="auto"/>
              <w:right w:val="single" w:sz="4" w:space="0" w:color="auto"/>
            </w:tcBorders>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Analphabètes </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10 % les plus pauvres </w:t>
            </w:r>
          </w:p>
        </w:tc>
      </w:tr>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Moins de soins postnatals reçus (Tableau RH.17)</w:t>
            </w:r>
          </w:p>
        </w:tc>
        <w:tc>
          <w:tcPr>
            <w:tcW w:w="1493" w:type="dxa"/>
            <w:tcBorders>
              <w:top w:val="single" w:sz="4" w:space="0" w:color="auto"/>
              <w:left w:val="single" w:sz="4" w:space="0" w:color="auto"/>
              <w:bottom w:val="single" w:sz="4" w:space="0" w:color="auto"/>
              <w:right w:val="single" w:sz="4" w:space="0" w:color="auto"/>
            </w:tcBorders>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Borgou</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Rural</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Analphabètes </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10 % les plus pauvres </w:t>
            </w:r>
          </w:p>
        </w:tc>
      </w:tr>
    </w:tbl>
    <w:p w:rsidR="00B446D0" w:rsidRPr="0022374B" w:rsidRDefault="00B446D0" w:rsidP="0022374B">
      <w:pPr>
        <w:widowControl w:val="0"/>
        <w:spacing w:before="120"/>
        <w:jc w:val="both"/>
        <w:rPr>
          <w:rFonts w:ascii="Times New Roman" w:hAnsi="Times New Roman"/>
          <w:b/>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 Comme on pouvait s’y attendre les deux mêmes profils de vulnérabilité s’opposent de manière presque symétrique.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Forte vulnérabilité chez les femmes des départements les plus isolés (Borgou, Alibori) et de manière plus générale parmi les femmes vivant en milieu rural, les analphabètes et les plus pauvres.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Au contraire, faible vulnérabilité parmi les femmes vivant dans les départements du Sud (Littoral, Couffo, Atlantique), et plus généralement en milieu urbain, et parmi les femmes instruites et celles favorisées sur le plan socio-économique.</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sz w:val="24"/>
          <w:szCs w:val="24"/>
        </w:rPr>
        <w:t xml:space="preserve"> </w:t>
      </w:r>
      <w:r w:rsidRPr="0022374B">
        <w:rPr>
          <w:rFonts w:ascii="Times New Roman" w:hAnsi="Times New Roman"/>
          <w:b/>
          <w:sz w:val="24"/>
          <w:szCs w:val="24"/>
        </w:rPr>
        <w:t xml:space="preserve">RECOMMANDATIONS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1/ Organiser ou renforcer les campagnes de sensibilisation au  niveau du ministère de la Santé sur les bienfaits des comportements préventifs pour la santé de la mère et de l’enfant.</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 Renforcer l’offre de santé et les campagnes de sensibilisation auprès des adolescentes dans certains département où les indicateurs sont nettement moins bons.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3/ Considérer que les femmes  analphabètes et les plus pauvres constituent des populations à risque qui doivent recevoir une attention particulière  renforcer l’offre de santé, cibler les campagnes d’information sur la maternité et surtout  sur la période péri et postnatale.</w:t>
      </w:r>
    </w:p>
    <w:p w:rsidR="00A45CA1"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 </w:t>
      </w:r>
    </w:p>
    <w:p w:rsidR="00A45CA1" w:rsidRPr="0022374B" w:rsidRDefault="00A45CA1" w:rsidP="0022374B">
      <w:pPr>
        <w:spacing w:before="120"/>
        <w:jc w:val="both"/>
        <w:rPr>
          <w:rFonts w:ascii="Times New Roman" w:hAnsi="Times New Roman"/>
          <w:sz w:val="24"/>
          <w:szCs w:val="24"/>
        </w:rPr>
      </w:pPr>
      <w:r w:rsidRPr="0022374B">
        <w:rPr>
          <w:rFonts w:ascii="Times New Roman" w:hAnsi="Times New Roman"/>
          <w:sz w:val="24"/>
          <w:szCs w:val="24"/>
        </w:rPr>
        <w:br w:type="page"/>
      </w:r>
    </w:p>
    <w:p w:rsidR="00B446D0" w:rsidRPr="0022374B" w:rsidRDefault="00B446D0" w:rsidP="0022374B">
      <w:pPr>
        <w:widowControl w:val="0"/>
        <w:tabs>
          <w:tab w:val="left" w:pos="1701"/>
        </w:tabs>
        <w:spacing w:before="120"/>
        <w:jc w:val="both"/>
        <w:rPr>
          <w:rFonts w:ascii="Times New Roman" w:hAnsi="Times New Roman"/>
          <w:b/>
          <w:bCs/>
          <w:sz w:val="28"/>
          <w:szCs w:val="28"/>
        </w:rPr>
      </w:pPr>
      <w:r w:rsidRPr="0022374B">
        <w:rPr>
          <w:rFonts w:ascii="Times New Roman" w:hAnsi="Times New Roman"/>
          <w:b/>
          <w:sz w:val="28"/>
          <w:szCs w:val="28"/>
        </w:rPr>
        <w:lastRenderedPageBreak/>
        <w:t xml:space="preserve">THEME 2.3 </w:t>
      </w:r>
      <w:r w:rsidR="00940B84">
        <w:rPr>
          <w:rFonts w:ascii="Times New Roman" w:hAnsi="Times New Roman"/>
          <w:b/>
          <w:sz w:val="28"/>
          <w:szCs w:val="28"/>
        </w:rPr>
        <w:t xml:space="preserve">POIDS A LA NAISAANCE ET </w:t>
      </w:r>
      <w:r w:rsidRPr="0022374B">
        <w:rPr>
          <w:rFonts w:ascii="Times New Roman" w:hAnsi="Times New Roman"/>
          <w:b/>
          <w:bCs/>
          <w:sz w:val="28"/>
          <w:szCs w:val="28"/>
        </w:rPr>
        <w:t xml:space="preserve">ALLAITEMENT </w:t>
      </w:r>
      <w:r w:rsidR="00940B84">
        <w:rPr>
          <w:rFonts w:ascii="Times New Roman" w:hAnsi="Times New Roman"/>
          <w:b/>
          <w:bCs/>
          <w:sz w:val="28"/>
          <w:szCs w:val="28"/>
        </w:rPr>
        <w:t xml:space="preserve">DE </w:t>
      </w:r>
      <w:r w:rsidRPr="0022374B">
        <w:rPr>
          <w:rFonts w:ascii="Times New Roman" w:hAnsi="Times New Roman"/>
          <w:b/>
          <w:bCs/>
          <w:sz w:val="28"/>
          <w:szCs w:val="28"/>
        </w:rPr>
        <w:t>L’ENFANT</w:t>
      </w:r>
    </w:p>
    <w:p w:rsidR="00B446D0" w:rsidRPr="0022374B" w:rsidRDefault="00B446D0" w:rsidP="0022374B">
      <w:pPr>
        <w:widowControl w:val="0"/>
        <w:spacing w:before="120"/>
        <w:jc w:val="both"/>
        <w:rPr>
          <w:rFonts w:ascii="Times New Roman" w:hAnsi="Times New Roman"/>
        </w:rPr>
      </w:pPr>
    </w:p>
    <w:p w:rsidR="00B446D0" w:rsidRPr="00CD18E4" w:rsidRDefault="00940B84" w:rsidP="00940B84">
      <w:pPr>
        <w:widowControl w:val="0"/>
        <w:pBdr>
          <w:top w:val="single" w:sz="4" w:space="1" w:color="auto"/>
          <w:left w:val="single" w:sz="4" w:space="4" w:color="auto"/>
          <w:bottom w:val="single" w:sz="4" w:space="1" w:color="auto"/>
          <w:right w:val="single" w:sz="4" w:space="4" w:color="auto"/>
        </w:pBdr>
        <w:spacing w:before="120"/>
        <w:ind w:left="360"/>
        <w:jc w:val="both"/>
        <w:rPr>
          <w:rFonts w:ascii="Times New Roman" w:hAnsi="Times New Roman"/>
          <w:b/>
          <w:sz w:val="24"/>
          <w:szCs w:val="24"/>
        </w:rPr>
      </w:pPr>
      <w:r>
        <w:rPr>
          <w:rFonts w:ascii="Times New Roman" w:hAnsi="Times New Roman"/>
          <w:b/>
          <w:sz w:val="24"/>
          <w:szCs w:val="24"/>
        </w:rPr>
        <w:t xml:space="preserve">1. </w:t>
      </w:r>
      <w:r w:rsidR="00B446D0" w:rsidRPr="00CD18E4">
        <w:rPr>
          <w:rFonts w:ascii="Times New Roman" w:hAnsi="Times New Roman"/>
          <w:b/>
          <w:sz w:val="24"/>
          <w:szCs w:val="24"/>
        </w:rPr>
        <w:t xml:space="preserve">INTRODUCTION </w:t>
      </w:r>
    </w:p>
    <w:p w:rsidR="00B446D0" w:rsidRPr="0022374B" w:rsidRDefault="00B446D0" w:rsidP="0022374B">
      <w:pPr>
        <w:widowControl w:val="0"/>
        <w:spacing w:before="120"/>
        <w:jc w:val="both"/>
        <w:rPr>
          <w:rFonts w:ascii="Times New Roman" w:hAnsi="Times New Roman"/>
        </w:rPr>
      </w:pPr>
    </w:p>
    <w:p w:rsidR="00B446D0" w:rsidRPr="0022374B" w:rsidRDefault="00B446D0" w:rsidP="0022374B">
      <w:pPr>
        <w:spacing w:before="120"/>
        <w:jc w:val="both"/>
        <w:rPr>
          <w:rFonts w:ascii="Times New Roman" w:hAnsi="Times New Roman"/>
        </w:rPr>
      </w:pPr>
      <w:r w:rsidRPr="0022374B">
        <w:rPr>
          <w:rFonts w:ascii="Times New Roman" w:hAnsi="Times New Roman"/>
        </w:rPr>
        <w:t xml:space="preserve">Bien que cette étude porte sur les adolescentes, il a paru utile de donner un aperçu du poids à la naissance et de la pratique de  l’allaitement immédiatement après la naissance, qui </w:t>
      </w:r>
      <w:r w:rsidRPr="0022374B">
        <w:rPr>
          <w:rStyle w:val="2H"/>
          <w:rFonts w:ascii="Times New Roman" w:hAnsi="Times New Roman"/>
          <w:b w:val="0"/>
          <w:bCs/>
          <w:sz w:val="22"/>
        </w:rPr>
        <w:t xml:space="preserve">sont particulièrement importants </w:t>
      </w:r>
      <w:r w:rsidRPr="0022374B">
        <w:rPr>
          <w:rStyle w:val="2H"/>
          <w:rFonts w:ascii="Times New Roman" w:hAnsi="Times New Roman"/>
          <w:bCs/>
          <w:sz w:val="22"/>
        </w:rPr>
        <w:t>p</w:t>
      </w:r>
      <w:r w:rsidRPr="0022374B">
        <w:rPr>
          <w:rFonts w:ascii="Times New Roman" w:hAnsi="Times New Roman"/>
        </w:rPr>
        <w:t>our mesurer la vulnérabilité, car l’enquête fournit les principaux indicateurs : le faible poids à la naissance et la proportion d’enfants ayant bénéficié d’un allaitement « précoce et exclusif » au sens de l’OMS.</w:t>
      </w:r>
    </w:p>
    <w:p w:rsidR="00B446D0" w:rsidRPr="0022374B" w:rsidRDefault="00B446D0" w:rsidP="0022374B">
      <w:pPr>
        <w:spacing w:before="120"/>
        <w:jc w:val="both"/>
        <w:rPr>
          <w:rStyle w:val="2H"/>
          <w:rFonts w:ascii="Times New Roman" w:hAnsi="Times New Roman"/>
          <w:b w:val="0"/>
          <w:bCs/>
          <w:sz w:val="22"/>
        </w:rPr>
      </w:pPr>
      <w:r w:rsidRPr="0022374B">
        <w:rPr>
          <w:rStyle w:val="2H"/>
          <w:rFonts w:ascii="Times New Roman" w:hAnsi="Times New Roman"/>
          <w:b w:val="0"/>
          <w:bCs/>
          <w:sz w:val="22"/>
        </w:rPr>
        <w:t xml:space="preserve">Lorsque la mère est trop jeune, elle n’a pas atteint son plein développement physique et cela peut entraîner des naissances d’enfants de faible poids. D’autre part, la situation économique et sociale des femmes a pu s’améliorer l’âge avançant, et elles donnent naissance à leurs enfants dans de meilleures conditions socio-sanitaires. </w:t>
      </w:r>
    </w:p>
    <w:p w:rsidR="00B446D0" w:rsidRPr="0022374B" w:rsidRDefault="00B446D0" w:rsidP="0022374B">
      <w:pPr>
        <w:spacing w:before="120"/>
        <w:jc w:val="both"/>
        <w:rPr>
          <w:rStyle w:val="2H"/>
          <w:rFonts w:ascii="Times New Roman" w:hAnsi="Times New Roman"/>
          <w:b w:val="0"/>
          <w:bCs/>
          <w:sz w:val="22"/>
        </w:rPr>
      </w:pPr>
      <w:r w:rsidRPr="0022374B">
        <w:rPr>
          <w:rStyle w:val="2H"/>
          <w:rFonts w:ascii="Times New Roman" w:hAnsi="Times New Roman"/>
          <w:b w:val="0"/>
          <w:bCs/>
          <w:sz w:val="22"/>
        </w:rPr>
        <w:t>En matière d’allaitement, nous avons retenu comme indicateur l’allaitement précoce et exclusif. L</w:t>
      </w:r>
      <w:r w:rsidRPr="0022374B">
        <w:rPr>
          <w:rFonts w:ascii="Times New Roman" w:hAnsi="Times New Roman"/>
        </w:rPr>
        <w:t>'UNICEF et l'OMS recommandent que les bébés soient allaités dans l'heure qui suit la naissance, nourris exclusivement au sein pendant les six  premiers mois de vie et continuent d'être allaités jusqu'à 2 ans et au-delà</w:t>
      </w:r>
      <w:r w:rsidRPr="0022374B">
        <w:rPr>
          <w:rStyle w:val="Appelnotedebasdep"/>
          <w:rFonts w:ascii="Times New Roman" w:hAnsi="Times New Roman"/>
        </w:rPr>
        <w:footnoteReference w:id="8"/>
      </w:r>
      <w:r w:rsidRPr="0022374B">
        <w:rPr>
          <w:rFonts w:ascii="Times New Roman" w:hAnsi="Times New Roman"/>
        </w:rPr>
        <w:t>.</w:t>
      </w:r>
      <w:r w:rsidRPr="0022374B">
        <w:rPr>
          <w:rStyle w:val="Appelnotedebasdep"/>
          <w:rFonts w:ascii="Times New Roman" w:hAnsi="Times New Roman"/>
        </w:rPr>
        <w:footnoteReference w:id="9"/>
      </w:r>
      <w:r w:rsidRPr="0022374B">
        <w:rPr>
          <w:rFonts w:ascii="Times New Roman" w:hAnsi="Times New Roman"/>
          <w:vertAlign w:val="superscript"/>
        </w:rPr>
        <w:t xml:space="preserve">, </w:t>
      </w:r>
      <w:r w:rsidRPr="0022374B">
        <w:rPr>
          <w:rStyle w:val="Appelnotedebasdep"/>
          <w:rFonts w:ascii="Times New Roman" w:hAnsi="Times New Roman"/>
        </w:rPr>
        <w:footnoteReference w:id="10"/>
      </w:r>
      <w:r w:rsidRPr="0022374B">
        <w:rPr>
          <w:rFonts w:ascii="Times New Roman" w:hAnsi="Times New Roman"/>
        </w:rPr>
        <w:t xml:space="preserve"> À partir de 6 mois, l'allaitement doit être combiné à une consommation sans risque, adaptée à l’âge, d’aliments solides, semi-solides et mous</w:t>
      </w:r>
      <w:r w:rsidRPr="0022374B">
        <w:rPr>
          <w:rStyle w:val="Appelnotedebasdep"/>
          <w:rFonts w:ascii="Times New Roman" w:hAnsi="Times New Roman"/>
        </w:rPr>
        <w:footnoteReference w:id="11"/>
      </w:r>
      <w:r w:rsidRPr="0022374B">
        <w:rPr>
          <w:rFonts w:ascii="Times New Roman" w:hAnsi="Times New Roman"/>
        </w:rPr>
        <w:t xml:space="preserve">.  </w:t>
      </w:r>
    </w:p>
    <w:p w:rsidR="00B446D0" w:rsidRPr="0022374B" w:rsidRDefault="00B446D0" w:rsidP="0022374B">
      <w:pPr>
        <w:spacing w:before="120"/>
        <w:jc w:val="both"/>
        <w:rPr>
          <w:rFonts w:ascii="Times New Roman" w:hAnsi="Times New Roman"/>
        </w:rPr>
      </w:pPr>
      <w:r w:rsidRPr="0022374B">
        <w:rPr>
          <w:rFonts w:ascii="Times New Roman" w:hAnsi="Times New Roman"/>
        </w:rPr>
        <w:t>Dans une perspective de sociologie du développement, observe-t-on un processus de reproduction, au sens du sociologue Pierre Bourdieu, de cette vulnérabilité. Peut-on considérer que l</w:t>
      </w:r>
      <w:r w:rsidRPr="0022374B">
        <w:rPr>
          <w:rStyle w:val="2H"/>
          <w:rFonts w:ascii="Times New Roman" w:hAnsi="Times New Roman"/>
          <w:b w:val="0"/>
          <w:bCs/>
          <w:sz w:val="22"/>
        </w:rPr>
        <w:t xml:space="preserve">a vulnérabilité économique, sociale et culturelle des mères </w:t>
      </w:r>
      <w:r w:rsidRPr="0022374B">
        <w:rPr>
          <w:rFonts w:ascii="Times New Roman" w:hAnsi="Times New Roman"/>
        </w:rPr>
        <w:t>se répercute sur leurs enfants en bas âge, et ceci dès la naissance ?   Si cette hypothèse est avérée, alors on doit observer parmi les adolescents les jeunes mères adolescentes des comportements susceptibles d’accroître la vulnérabilité des enfants, en particulier le non-respect des règles de recommandations internationales  relatives à l’allaitement.</w:t>
      </w:r>
    </w:p>
    <w:p w:rsidR="00B446D0" w:rsidRPr="0022374B" w:rsidRDefault="00B446D0" w:rsidP="0022374B">
      <w:pPr>
        <w:spacing w:before="120"/>
        <w:jc w:val="both"/>
        <w:rPr>
          <w:rFonts w:ascii="Times New Roman" w:hAnsi="Times New Roman"/>
        </w:rPr>
      </w:pPr>
    </w:p>
    <w:p w:rsidR="00B446D0" w:rsidRPr="0022374B" w:rsidRDefault="00B446D0" w:rsidP="0022374B">
      <w:pPr>
        <w:pStyle w:val="Corpsdetexte"/>
        <w:tabs>
          <w:tab w:val="left" w:pos="720"/>
        </w:tabs>
        <w:spacing w:before="120" w:after="0"/>
        <w:jc w:val="both"/>
        <w:rPr>
          <w:rStyle w:val="2H"/>
          <w:rFonts w:ascii="Times New Roman" w:hAnsi="Times New Roman"/>
          <w:bCs/>
          <w:sz w:val="22"/>
          <w:szCs w:val="22"/>
        </w:rPr>
      </w:pPr>
    </w:p>
    <w:p w:rsidR="00B446D0" w:rsidRPr="0022374B" w:rsidRDefault="00B446D0" w:rsidP="0022374B">
      <w:pPr>
        <w:pStyle w:val="Corpsdetexte"/>
        <w:pBdr>
          <w:top w:val="single" w:sz="4" w:space="1" w:color="auto"/>
          <w:left w:val="single" w:sz="4" w:space="4" w:color="auto"/>
          <w:bottom w:val="single" w:sz="4" w:space="1" w:color="auto"/>
          <w:right w:val="single" w:sz="4" w:space="4" w:color="auto"/>
        </w:pBdr>
        <w:tabs>
          <w:tab w:val="left" w:pos="720"/>
        </w:tabs>
        <w:spacing w:before="120" w:after="0"/>
        <w:jc w:val="both"/>
        <w:rPr>
          <w:rStyle w:val="2H"/>
          <w:rFonts w:ascii="Times New Roman" w:hAnsi="Times New Roman"/>
          <w:bCs/>
          <w:sz w:val="22"/>
          <w:szCs w:val="22"/>
        </w:rPr>
      </w:pPr>
      <w:r w:rsidRPr="0022374B">
        <w:rPr>
          <w:rFonts w:ascii="Times New Roman" w:hAnsi="Times New Roman"/>
          <w:szCs w:val="22"/>
        </w:rPr>
        <w:t xml:space="preserve">2. </w:t>
      </w:r>
      <w:r w:rsidRPr="0022374B">
        <w:rPr>
          <w:rStyle w:val="2H"/>
          <w:rFonts w:ascii="Times New Roman" w:hAnsi="Times New Roman"/>
          <w:bCs/>
          <w:sz w:val="22"/>
          <w:szCs w:val="22"/>
        </w:rPr>
        <w:t>FAIBLE POIDS À LA NAISSANCE</w:t>
      </w:r>
    </w:p>
    <w:p w:rsidR="00B446D0" w:rsidRPr="0022374B" w:rsidRDefault="00B446D0" w:rsidP="0022374B">
      <w:pPr>
        <w:pStyle w:val="Corpsdetexte"/>
        <w:tabs>
          <w:tab w:val="left" w:pos="720"/>
        </w:tabs>
        <w:spacing w:before="120" w:after="0"/>
        <w:jc w:val="both"/>
        <w:rPr>
          <w:rStyle w:val="2H"/>
          <w:rFonts w:ascii="Times New Roman" w:hAnsi="Times New Roman"/>
          <w:bCs/>
          <w:sz w:val="22"/>
          <w:szCs w:val="22"/>
        </w:rPr>
      </w:pPr>
    </w:p>
    <w:p w:rsidR="00B446D0" w:rsidRPr="0022374B" w:rsidRDefault="00B446D0" w:rsidP="0022374B">
      <w:pPr>
        <w:pStyle w:val="NormalWeb"/>
        <w:widowControl w:val="0"/>
        <w:shd w:val="clear" w:color="auto" w:fill="FFFFFF"/>
        <w:spacing w:before="120" w:beforeAutospacing="0" w:after="0" w:afterAutospacing="0"/>
        <w:jc w:val="both"/>
        <w:rPr>
          <w:sz w:val="22"/>
          <w:szCs w:val="22"/>
          <w:lang w:val="fr-FR"/>
        </w:rPr>
      </w:pPr>
      <w:bookmarkStart w:id="4" w:name="_Toc142800362"/>
      <w:r w:rsidRPr="0022374B">
        <w:rPr>
          <w:sz w:val="22"/>
          <w:szCs w:val="22"/>
          <w:lang w:val="fr-FR"/>
        </w:rPr>
        <w:t>Comme le rappelle le rapport de la MICS 1994, le poids à la naissance est un bon indicateur non seulement de la santé de la mère et de son état nutritionnel, mais aussi des chances de survie, de croissance, de santé à long terme et du développement psychosocial de l’enfant. Le pourcentage de naissances pesant moins de 2 500 g est estimé à partir de deux éléments dans le questionnaire : l'évaluation par la mère de la taille de l'enfant à la naissance (c'est-à-dire : très petite, plus petite que la moyenne, moyenne, supérieure à la moyenne, très grande) et du rappel de la mère du poids de l'enfant ou le poids tel qu’enregistré sur le carnet de santé si l'enfant a été pesé à la naissance</w:t>
      </w:r>
      <w:r w:rsidRPr="0022374B">
        <w:rPr>
          <w:rStyle w:val="Appelnotedebasdep"/>
          <w:sz w:val="22"/>
          <w:szCs w:val="22"/>
        </w:rPr>
        <w:footnoteReference w:id="12"/>
      </w:r>
      <w:r w:rsidRPr="0022374B">
        <w:rPr>
          <w:sz w:val="22"/>
          <w:szCs w:val="22"/>
          <w:lang w:val="fr-FR"/>
        </w:rPr>
        <w:t xml:space="preserve">. L’insuffisance pondérale à la naissance (définie comme moins de 2 500 g) résulte d’une malnutrition maternelle au cours de la grossesse et est associée à des risques de morbidité et de mortalité pour les nouveau-nés. Les bébés qui ont été sous-alimentés dans le ventre courent un risque nettement accru de mourir au cours de leurs 1 000 premiers jours. Ceux qui survivent peuvent souffrir d’une diminution de leurs fonctions immunitaires affaiblies et d’un risque accru de maladie ; ils sont susceptibles de rester sous-alimentés, avec une diminution de la force musculaire tout au long de leur vie. Les enfants nés avec une insuffisance pondérale risquent de également d’avoir un quotient intellectuel (QI) plus faible et des troubles cognitifs affectant leurs </w:t>
      </w:r>
      <w:r w:rsidRPr="0022374B">
        <w:rPr>
          <w:sz w:val="22"/>
          <w:szCs w:val="22"/>
          <w:lang w:val="fr-FR"/>
        </w:rPr>
        <w:lastRenderedPageBreak/>
        <w:t>futurs rendements scolaires et perspectives d'emploi à l'âge adulte. Dans les pays en développement, l’insuffisance pondérale à la naissance provient principalement de la mauvaise santé et de la malnutrition de la mère. Les adolescentes qui donnent naissance au moment où leurs propres corps n'ont pas encore achevé leur croissance courent un risque plus élevé de mettre au monde des bébés de faible poids à la naissance.</w:t>
      </w:r>
    </w:p>
    <w:p w:rsidR="00B446D0" w:rsidRPr="0022374B" w:rsidRDefault="00B446D0" w:rsidP="0022374B">
      <w:pPr>
        <w:pStyle w:val="NormalWeb"/>
        <w:widowControl w:val="0"/>
        <w:shd w:val="clear" w:color="auto" w:fill="FFFFFF"/>
        <w:spacing w:before="120" w:beforeAutospacing="0" w:after="0" w:afterAutospacing="0"/>
        <w:jc w:val="both"/>
        <w:rPr>
          <w:sz w:val="22"/>
          <w:szCs w:val="22"/>
          <w:lang w:val="fr-FR"/>
        </w:rPr>
      </w:pPr>
    </w:p>
    <w:p w:rsidR="00B446D0" w:rsidRPr="0022374B" w:rsidRDefault="00B446D0" w:rsidP="00CD18E4">
      <w:pPr>
        <w:widowControl w:val="0"/>
        <w:spacing w:before="120"/>
        <w:jc w:val="center"/>
        <w:rPr>
          <w:rFonts w:ascii="Times New Roman" w:hAnsi="Times New Roman"/>
          <w:b/>
          <w:bCs/>
        </w:rPr>
      </w:pPr>
      <w:r w:rsidRPr="0022374B">
        <w:rPr>
          <w:rFonts w:ascii="Times New Roman" w:hAnsi="Times New Roman"/>
          <w:b/>
          <w:bCs/>
        </w:rPr>
        <w:t>Tableau NU.1: Pourcentage d’enfants pesant moins de 2500 grammes à la naissance</w:t>
      </w:r>
    </w:p>
    <w:p w:rsidR="00B446D0" w:rsidRPr="0022374B" w:rsidRDefault="00B446D0" w:rsidP="0022374B">
      <w:pPr>
        <w:widowControl w:val="0"/>
        <w:spacing w:before="120"/>
        <w:jc w:val="both"/>
        <w:rPr>
          <w:rFonts w:ascii="Times New Roman" w:hAnsi="Times New Roman"/>
          <w:b/>
        </w:rPr>
      </w:pPr>
    </w:p>
    <w:p w:rsidR="00B446D0" w:rsidRPr="00CD18E4" w:rsidRDefault="00B446D0" w:rsidP="0022374B">
      <w:pPr>
        <w:widowControl w:val="0"/>
        <w:spacing w:before="120"/>
        <w:jc w:val="both"/>
        <w:rPr>
          <w:rFonts w:ascii="Times New Roman" w:hAnsi="Times New Roman"/>
          <w:b/>
          <w:bCs/>
          <w:sz w:val="24"/>
          <w:szCs w:val="24"/>
        </w:rPr>
      </w:pPr>
      <w:r w:rsidRPr="00CD18E4">
        <w:rPr>
          <w:rFonts w:ascii="Times New Roman" w:hAnsi="Times New Roman"/>
          <w:sz w:val="24"/>
          <w:szCs w:val="24"/>
        </w:rPr>
        <w:t>Pourcentage d'enfants nés vivants dans les deux dernières années qui sont estimés avoir pesé moins de 2</w:t>
      </w:r>
      <w:r w:rsidRPr="00CD18E4">
        <w:rPr>
          <w:rFonts w:ascii="Times New Roman" w:hAnsi="Times New Roman"/>
          <w:sz w:val="24"/>
          <w:szCs w:val="24"/>
          <w:lang w:eastAsia="zh-TW"/>
        </w:rPr>
        <w:t> </w:t>
      </w:r>
      <w:r w:rsidRPr="00CD18E4">
        <w:rPr>
          <w:rFonts w:ascii="Times New Roman" w:hAnsi="Times New Roman"/>
          <w:sz w:val="24"/>
          <w:szCs w:val="24"/>
        </w:rPr>
        <w:t>500 g à la naissance selon les caractéristiques socio-économiques.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483"/>
        <w:gridCol w:w="2000"/>
        <w:gridCol w:w="1597"/>
        <w:gridCol w:w="1602"/>
      </w:tblGrid>
      <w:tr w:rsidR="00CD18E4" w:rsidRPr="0022374B" w:rsidTr="00CD18E4">
        <w:trPr>
          <w:trHeight w:val="20"/>
        </w:trPr>
        <w:tc>
          <w:tcPr>
            <w:tcW w:w="2182" w:type="dxa"/>
          </w:tcPr>
          <w:p w:rsidR="00CD18E4" w:rsidRPr="0022374B" w:rsidRDefault="00CD18E4" w:rsidP="0022374B">
            <w:pPr>
              <w:widowControl w:val="0"/>
              <w:spacing w:before="120"/>
              <w:jc w:val="both"/>
              <w:rPr>
                <w:rFonts w:ascii="Times New Roman" w:hAnsi="Times New Roman"/>
              </w:rPr>
            </w:pPr>
          </w:p>
        </w:tc>
        <w:tc>
          <w:tcPr>
            <w:tcW w:w="6682" w:type="dxa"/>
            <w:gridSpan w:val="4"/>
          </w:tcPr>
          <w:p w:rsidR="00CD18E4" w:rsidRPr="0022374B" w:rsidRDefault="00CD18E4" w:rsidP="00CD18E4">
            <w:pPr>
              <w:widowControl w:val="0"/>
              <w:spacing w:before="120"/>
              <w:jc w:val="center"/>
              <w:rPr>
                <w:rFonts w:ascii="Times New Roman" w:hAnsi="Times New Roman"/>
              </w:rPr>
            </w:pPr>
            <w:r>
              <w:rPr>
                <w:rFonts w:ascii="Times New Roman" w:hAnsi="Times New Roman"/>
              </w:rPr>
              <w:t>Poids &lt;2500 g</w:t>
            </w:r>
          </w:p>
        </w:tc>
      </w:tr>
      <w:tr w:rsidR="00B446D0" w:rsidRPr="0022374B" w:rsidTr="00CD18E4">
        <w:trPr>
          <w:trHeight w:val="20"/>
        </w:trPr>
        <w:tc>
          <w:tcPr>
            <w:tcW w:w="2182" w:type="dxa"/>
          </w:tcPr>
          <w:p w:rsidR="00B446D0" w:rsidRPr="0022374B" w:rsidRDefault="00B446D0" w:rsidP="0022374B">
            <w:pPr>
              <w:widowControl w:val="0"/>
              <w:spacing w:before="120"/>
              <w:jc w:val="both"/>
              <w:rPr>
                <w:rFonts w:ascii="Times New Roman" w:hAnsi="Times New Roman"/>
              </w:rPr>
            </w:pPr>
          </w:p>
        </w:tc>
        <w:tc>
          <w:tcPr>
            <w:tcW w:w="1483"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Adolescentes </w:t>
            </w:r>
          </w:p>
        </w:tc>
        <w:tc>
          <w:tcPr>
            <w:tcW w:w="2000"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Jeunes mères </w:t>
            </w:r>
          </w:p>
        </w:tc>
        <w:tc>
          <w:tcPr>
            <w:tcW w:w="3199" w:type="dxa"/>
            <w:gridSpan w:val="2"/>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Ensemble des mères</w:t>
            </w:r>
          </w:p>
        </w:tc>
      </w:tr>
      <w:tr w:rsidR="00B446D0" w:rsidRPr="0022374B" w:rsidTr="00CD18E4">
        <w:trPr>
          <w:trHeight w:val="20"/>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Total</w:t>
            </w:r>
          </w:p>
        </w:tc>
        <w:tc>
          <w:tcPr>
            <w:tcW w:w="1483" w:type="dxa"/>
          </w:tcPr>
          <w:p w:rsidR="00B446D0" w:rsidRPr="0022374B" w:rsidRDefault="00B446D0" w:rsidP="0022374B">
            <w:pPr>
              <w:spacing w:before="120"/>
              <w:jc w:val="both"/>
              <w:rPr>
                <w:rFonts w:ascii="Times New Roman" w:hAnsi="Times New Roman"/>
                <w:bCs/>
                <w:color w:val="000000"/>
              </w:rPr>
            </w:pPr>
            <w:r w:rsidRPr="0022374B">
              <w:rPr>
                <w:rFonts w:ascii="Times New Roman" w:hAnsi="Times New Roman"/>
                <w:bCs/>
                <w:color w:val="000000"/>
              </w:rPr>
              <w:t>11,9</w:t>
            </w:r>
          </w:p>
          <w:p w:rsidR="00B446D0" w:rsidRPr="0022374B" w:rsidRDefault="00B446D0" w:rsidP="0022374B">
            <w:pPr>
              <w:widowControl w:val="0"/>
              <w:spacing w:before="120"/>
              <w:jc w:val="both"/>
              <w:rPr>
                <w:rFonts w:ascii="Times New Roman" w:hAnsi="Times New Roman"/>
                <w:bCs/>
                <w:strike/>
              </w:rPr>
            </w:pPr>
          </w:p>
        </w:tc>
        <w:tc>
          <w:tcPr>
            <w:tcW w:w="2000" w:type="dxa"/>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9,1</w:t>
            </w:r>
          </w:p>
        </w:tc>
        <w:tc>
          <w:tcPr>
            <w:tcW w:w="1597" w:type="dxa"/>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rPr>
              <w:t>12,5</w:t>
            </w:r>
          </w:p>
          <w:p w:rsidR="00B446D0" w:rsidRPr="0022374B" w:rsidRDefault="00B446D0" w:rsidP="0022374B">
            <w:pPr>
              <w:widowControl w:val="0"/>
              <w:spacing w:before="120"/>
              <w:jc w:val="both"/>
              <w:rPr>
                <w:rFonts w:ascii="Times New Roman" w:hAnsi="Times New Roman"/>
              </w:rPr>
            </w:pPr>
          </w:p>
        </w:tc>
        <w:tc>
          <w:tcPr>
            <w:tcW w:w="1602" w:type="dxa"/>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N</w:t>
            </w:r>
          </w:p>
        </w:tc>
      </w:tr>
      <w:tr w:rsidR="00B446D0" w:rsidRPr="0022374B" w:rsidTr="00CD18E4">
        <w:trPr>
          <w:trHeight w:val="113"/>
        </w:trPr>
        <w:tc>
          <w:tcPr>
            <w:tcW w:w="8864" w:type="dxa"/>
            <w:gridSpan w:val="5"/>
            <w:vAlign w:val="bottom"/>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Département</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Alibori</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1,9</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4,3</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13,0</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381</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Atacora</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20,8</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9,2</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12,7</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466</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Atlantique</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20,6</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8,4</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13,6</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793</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Borgou</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10,1</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4,3</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13,9</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616</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Collines</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8,9</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8,8</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11,0</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387</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Couffo</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10,9</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8,7</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11,8</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497</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Donga</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10,9</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7,7</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11,4</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276</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Littoral</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9,3</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10,8</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11,6</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301</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Mono</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7,8</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12,5</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13,1</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290</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Ouémé</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20,8</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10,2</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13,3</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614</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Plateau</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0,0</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16,0</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12,0</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351</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Zou</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14,0</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12,7</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9,7</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416</w:t>
            </w:r>
          </w:p>
        </w:tc>
      </w:tr>
      <w:tr w:rsidR="00B446D0" w:rsidRPr="0022374B" w:rsidTr="00CD18E4">
        <w:trPr>
          <w:trHeight w:val="113"/>
        </w:trPr>
        <w:tc>
          <w:tcPr>
            <w:tcW w:w="8864" w:type="dxa"/>
            <w:gridSpan w:val="5"/>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Milieu de résidence</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Urbain</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16,2</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9,1</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13,3</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2331</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Rural</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9,3</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9,1</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11,8</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3057</w:t>
            </w:r>
          </w:p>
        </w:tc>
      </w:tr>
      <w:tr w:rsidR="00B446D0" w:rsidRPr="0022374B" w:rsidTr="00CD18E4">
        <w:trPr>
          <w:trHeight w:val="113"/>
        </w:trPr>
        <w:tc>
          <w:tcPr>
            <w:tcW w:w="8864" w:type="dxa"/>
            <w:gridSpan w:val="5"/>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Instruction de la mère</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Aucune</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11,2</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7,2</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12,5</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3303</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Primaire</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13,2</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9,6</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12,6</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1251</w:t>
            </w:r>
          </w:p>
        </w:tc>
      </w:tr>
      <w:tr w:rsidR="00B446D0" w:rsidRPr="0022374B" w:rsidTr="00CD18E4">
        <w:trPr>
          <w:trHeight w:val="231"/>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Secondaire 1</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10,7</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12,5</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11,8</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591</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Secondaire 2 ou +</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19,8</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12,1</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13,3</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242</w:t>
            </w:r>
          </w:p>
        </w:tc>
      </w:tr>
      <w:tr w:rsidR="00B446D0" w:rsidRPr="0022374B" w:rsidTr="00CD18E4">
        <w:trPr>
          <w:trHeight w:val="113"/>
        </w:trPr>
        <w:tc>
          <w:tcPr>
            <w:tcW w:w="2182" w:type="dxa"/>
          </w:tcPr>
          <w:p w:rsidR="00B446D0" w:rsidRPr="0022374B" w:rsidRDefault="00B446D0" w:rsidP="0022374B">
            <w:pPr>
              <w:widowControl w:val="0"/>
              <w:spacing w:before="120"/>
              <w:jc w:val="both"/>
              <w:rPr>
                <w:rFonts w:ascii="Times New Roman" w:hAnsi="Times New Roman"/>
              </w:rPr>
            </w:pPr>
          </w:p>
        </w:tc>
        <w:tc>
          <w:tcPr>
            <w:tcW w:w="1483" w:type="dxa"/>
          </w:tcPr>
          <w:p w:rsidR="00B446D0" w:rsidRPr="0022374B" w:rsidRDefault="00B446D0" w:rsidP="0022374B">
            <w:pPr>
              <w:widowControl w:val="0"/>
              <w:spacing w:before="120"/>
              <w:jc w:val="both"/>
              <w:rPr>
                <w:rFonts w:ascii="Times New Roman" w:hAnsi="Times New Roman"/>
              </w:rPr>
            </w:pPr>
          </w:p>
        </w:tc>
        <w:tc>
          <w:tcPr>
            <w:tcW w:w="2000" w:type="dxa"/>
          </w:tcPr>
          <w:p w:rsidR="00B446D0" w:rsidRPr="0022374B" w:rsidRDefault="00B446D0" w:rsidP="0022374B">
            <w:pPr>
              <w:widowControl w:val="0"/>
              <w:spacing w:before="120"/>
              <w:jc w:val="both"/>
              <w:rPr>
                <w:rFonts w:ascii="Times New Roman" w:hAnsi="Times New Roman"/>
              </w:rPr>
            </w:pPr>
          </w:p>
        </w:tc>
        <w:tc>
          <w:tcPr>
            <w:tcW w:w="1597" w:type="dxa"/>
            <w:vAlign w:val="center"/>
          </w:tcPr>
          <w:p w:rsidR="00B446D0" w:rsidRPr="0022374B" w:rsidRDefault="00B446D0" w:rsidP="0022374B">
            <w:pPr>
              <w:widowControl w:val="0"/>
              <w:spacing w:before="120"/>
              <w:jc w:val="both"/>
              <w:rPr>
                <w:rFonts w:ascii="Times New Roman" w:hAnsi="Times New Roman"/>
                <w:strike/>
              </w:rPr>
            </w:pPr>
          </w:p>
        </w:tc>
        <w:tc>
          <w:tcPr>
            <w:tcW w:w="1602" w:type="dxa"/>
          </w:tcPr>
          <w:p w:rsidR="00B446D0" w:rsidRPr="0022374B" w:rsidRDefault="00B446D0" w:rsidP="0022374B">
            <w:pPr>
              <w:widowControl w:val="0"/>
              <w:spacing w:before="120"/>
              <w:jc w:val="both"/>
              <w:rPr>
                <w:rFonts w:ascii="Times New Roman" w:hAnsi="Times New Roman"/>
              </w:rPr>
            </w:pPr>
          </w:p>
        </w:tc>
      </w:tr>
      <w:tr w:rsidR="00B446D0" w:rsidRPr="0022374B" w:rsidTr="00CD18E4">
        <w:trPr>
          <w:trHeight w:val="113"/>
        </w:trPr>
        <w:tc>
          <w:tcPr>
            <w:tcW w:w="8864" w:type="dxa"/>
            <w:gridSpan w:val="5"/>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Indice de bien-être économique</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pauvre</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17,0</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4,2</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12,7</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1095</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Second</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4,3</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7,3</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11,7</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1127</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Moyen</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12,9</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10,2</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12,5</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1095</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lastRenderedPageBreak/>
              <w:t>Quatrième</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10,3</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14,3</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13,2</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1133</w:t>
            </w:r>
          </w:p>
        </w:tc>
      </w:tr>
      <w:tr w:rsidR="00B446D0" w:rsidRPr="0022374B" w:rsidTr="00CD18E4">
        <w:trPr>
          <w:trHeight w:val="113"/>
        </w:trPr>
        <w:tc>
          <w:tcPr>
            <w:tcW w:w="2182"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Le plus riche</w:t>
            </w:r>
          </w:p>
        </w:tc>
        <w:tc>
          <w:tcPr>
            <w:tcW w:w="148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16,7</w:t>
            </w:r>
          </w:p>
        </w:tc>
        <w:tc>
          <w:tcPr>
            <w:tcW w:w="2000"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8,9</w:t>
            </w:r>
          </w:p>
        </w:tc>
        <w:tc>
          <w:tcPr>
            <w:tcW w:w="1597"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12,2</w:t>
            </w:r>
          </w:p>
        </w:tc>
        <w:tc>
          <w:tcPr>
            <w:tcW w:w="160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938</w:t>
            </w:r>
          </w:p>
        </w:tc>
      </w:tr>
    </w:tbl>
    <w:p w:rsidR="00B446D0" w:rsidRPr="0022374B" w:rsidRDefault="00B446D0" w:rsidP="0022374B">
      <w:pPr>
        <w:widowControl w:val="0"/>
        <w:spacing w:before="120"/>
        <w:jc w:val="both"/>
        <w:rPr>
          <w:rFonts w:ascii="Times New Roman" w:hAnsi="Times New Roman"/>
        </w:rPr>
      </w:pPr>
    </w:p>
    <w:p w:rsidR="00B446D0" w:rsidRPr="0022374B" w:rsidRDefault="00B446D0" w:rsidP="0022374B">
      <w:pPr>
        <w:widowControl w:val="0"/>
        <w:spacing w:before="120"/>
        <w:jc w:val="both"/>
        <w:rPr>
          <w:rFonts w:ascii="Times New Roman" w:hAnsi="Times New Roman"/>
          <w:b/>
        </w:rPr>
      </w:pPr>
    </w:p>
    <w:p w:rsidR="00B446D0" w:rsidRPr="0022374B" w:rsidRDefault="00B446D0" w:rsidP="0022374B">
      <w:pPr>
        <w:widowControl w:val="0"/>
        <w:spacing w:before="120"/>
        <w:jc w:val="both"/>
        <w:rPr>
          <w:rFonts w:ascii="Times New Roman" w:hAnsi="Times New Roman"/>
          <w:b/>
        </w:rPr>
      </w:pPr>
      <w:r w:rsidRPr="0022374B">
        <w:rPr>
          <w:rFonts w:ascii="Times New Roman" w:hAnsi="Times New Roman"/>
          <w:b/>
        </w:rPr>
        <w:t xml:space="preserve">Ensemble des mères </w:t>
      </w:r>
    </w:p>
    <w:p w:rsidR="00B446D0" w:rsidRPr="0022374B" w:rsidRDefault="00B446D0" w:rsidP="0022374B">
      <w:pPr>
        <w:widowControl w:val="0"/>
        <w:spacing w:before="120"/>
        <w:jc w:val="both"/>
        <w:rPr>
          <w:rFonts w:ascii="Times New Roman" w:hAnsi="Times New Roman"/>
          <w:b/>
        </w:rPr>
      </w:pPr>
      <w:r w:rsidRPr="0022374B">
        <w:rPr>
          <w:rFonts w:ascii="Times New Roman" w:hAnsi="Times New Roman"/>
        </w:rPr>
        <w:t>Le tableau</w:t>
      </w:r>
      <w:r w:rsidRPr="0022374B">
        <w:rPr>
          <w:rFonts w:ascii="Times New Roman" w:hAnsi="Times New Roman"/>
          <w:lang w:eastAsia="zh-TW"/>
        </w:rPr>
        <w:t> </w:t>
      </w:r>
      <w:r w:rsidRPr="0022374B">
        <w:rPr>
          <w:rFonts w:ascii="Times New Roman" w:hAnsi="Times New Roman"/>
        </w:rPr>
        <w:t xml:space="preserve">NU.1 montre que dans l'ensemble 76 pour cent des nouveau-nés ont été pesés à la naissance et environ 13 pour cent ont un faible poids (moins de 2 500 g) à la naissance. </w:t>
      </w: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Contrairement aux commentaires du tableau qui figurent dans le chapitre 5, on n’observe pas « une variation importante par département ». En effet, le taux le plus faible est observé dans le Zou (10 %) et le plus élevé dans le Borgou et l’Atlantique (14 %). </w:t>
      </w:r>
    </w:p>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 xml:space="preserve">Cette affirmation est d’autant plus surprenante que la phrase suivante affirme au contraire que « La prévalence de faible poids à la naissance ne varie pas beaucoup selon le milieu de résidence (13 % en milieu urbain contre 12 % en milieu rural) ou selon le niveau d’instruction de la mère ». Quoi qu’il en soit il résulte de ce constat que le faible poids la naissance n’est lié à aucun facteur, ni résidentiel, ni socioculturel. </w:t>
      </w:r>
    </w:p>
    <w:p w:rsidR="00B446D0" w:rsidRPr="0022374B" w:rsidRDefault="00B446D0" w:rsidP="0022374B">
      <w:pPr>
        <w:widowControl w:val="0"/>
        <w:spacing w:before="120"/>
        <w:jc w:val="both"/>
        <w:rPr>
          <w:rFonts w:ascii="Times New Roman" w:hAnsi="Times New Roman"/>
        </w:rPr>
      </w:pPr>
    </w:p>
    <w:p w:rsidR="00B446D0" w:rsidRPr="0022374B" w:rsidRDefault="00B446D0" w:rsidP="0022374B">
      <w:pPr>
        <w:widowControl w:val="0"/>
        <w:spacing w:before="120"/>
        <w:jc w:val="both"/>
        <w:rPr>
          <w:rFonts w:ascii="Times New Roman" w:hAnsi="Times New Roman"/>
          <w:b/>
          <w:bCs/>
        </w:rPr>
      </w:pPr>
      <w:r w:rsidRPr="0022374B">
        <w:rPr>
          <w:rFonts w:ascii="Times New Roman" w:hAnsi="Times New Roman"/>
          <w:b/>
          <w:bCs/>
        </w:rPr>
        <w:t>Mères adolescentes</w:t>
      </w:r>
    </w:p>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La proportion d’enfants de faible poids à la naissance est plus faible parmi les adolescentes  et les jeunes mères (11,9). Bien que cet écart ne soit pas significatif statistiquement, mais cette valeur moyenne pourrait masquer de fortes variations entre les adolescentes selon leurs caractéristiques socio-économiques. Cela signifierait que la vulnérabilité des jeunes mères reste un réel facteur influant sur le poids à la naissance.</w:t>
      </w:r>
    </w:p>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Mais cette hypothèse ne résiste pas à l’analyse, car un examen attentif des variations selon les différentes variables révèle des résultats contradictoires au sein même du groupe des mères adolescentes. Par exemple on observe une plus forte proportion (19,8 %) d’enfants de faible poids  à la naissance chez les mères les plus instruites (niveau secondaire 2 ou plus) alors que pour les femmes de niveau secondaire, cette proportion est comparable à celle des femmes analphabètes (10,7 et 11,2 %). De même pour le quintile le plus pauvre la proportion est de 17 % contre seulement 4,3 % dans le quintile  immédiatement supérieur. Ces résultats divergents et surtout contradictoires avec ce que l’on attendrait, à savoir une moindre proportion de naissances de faible poids parmi les femmes de milieux défavorisés, sont inexplicables.</w:t>
      </w:r>
    </w:p>
    <w:p w:rsidR="00B446D0" w:rsidRPr="0022374B" w:rsidRDefault="00B446D0" w:rsidP="0022374B">
      <w:pPr>
        <w:widowControl w:val="0"/>
        <w:spacing w:before="120"/>
        <w:jc w:val="both"/>
        <w:rPr>
          <w:rFonts w:ascii="Times New Roman" w:hAnsi="Times New Roman"/>
          <w:b/>
          <w:bCs/>
        </w:rPr>
      </w:pPr>
    </w:p>
    <w:p w:rsidR="00B446D0" w:rsidRPr="0022374B" w:rsidRDefault="00B446D0" w:rsidP="0022374B">
      <w:pPr>
        <w:widowControl w:val="0"/>
        <w:spacing w:before="120"/>
        <w:jc w:val="both"/>
        <w:rPr>
          <w:rFonts w:ascii="Times New Roman" w:hAnsi="Times New Roman"/>
          <w:b/>
          <w:bCs/>
        </w:rPr>
      </w:pPr>
      <w:r w:rsidRPr="0022374B">
        <w:rPr>
          <w:rFonts w:ascii="Times New Roman" w:hAnsi="Times New Roman"/>
          <w:b/>
          <w:bCs/>
        </w:rPr>
        <w:t xml:space="preserve">Jeunes mères </w:t>
      </w:r>
    </w:p>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
          <w:bCs/>
        </w:rPr>
        <w:t xml:space="preserve"> </w:t>
      </w:r>
      <w:r w:rsidRPr="0022374B">
        <w:rPr>
          <w:rFonts w:ascii="Times New Roman" w:hAnsi="Times New Roman"/>
          <w:bCs/>
        </w:rPr>
        <w:t xml:space="preserve">Parmi les enfants des jeunes mères, la proportion globale d’enfants de faible poids à la naissance, égal à 9,1 %, est encore plus faible que celle de l’ensemble des mères  (12,5 %). </w:t>
      </w:r>
    </w:p>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Comme pour les jeunes adolescentes, les variations selon les caractéristiques socio-économiques  ne vont  pas dans le sens attendu : 12 % d’enfants de faible poids à la naissance parmi les femmes les plus instruites contre 7 %  parmi les femmes analphabètes. De même la proportion est plus basse  (4,2 et 7,3 %) parmi les femmes des 20 % de ménages les plus pauvres</w:t>
      </w:r>
    </w:p>
    <w:p w:rsidR="00B446D0" w:rsidRPr="0022374B" w:rsidRDefault="00B446D0" w:rsidP="0022374B">
      <w:pPr>
        <w:widowControl w:val="0"/>
        <w:spacing w:before="120"/>
        <w:jc w:val="both"/>
        <w:rPr>
          <w:rFonts w:ascii="Times New Roman" w:hAnsi="Times New Roman"/>
          <w:bCs/>
        </w:rPr>
      </w:pPr>
    </w:p>
    <w:bookmarkEnd w:id="4"/>
    <w:p w:rsidR="00B446D0" w:rsidRPr="0022374B" w:rsidRDefault="00940B84" w:rsidP="00940B84">
      <w:pPr>
        <w:pBdr>
          <w:top w:val="single" w:sz="4" w:space="1" w:color="auto"/>
          <w:left w:val="single" w:sz="4" w:space="4" w:color="auto"/>
          <w:bottom w:val="single" w:sz="4" w:space="1" w:color="auto"/>
          <w:right w:val="single" w:sz="4" w:space="4" w:color="auto"/>
        </w:pBdr>
        <w:spacing w:before="120"/>
        <w:ind w:left="360"/>
        <w:jc w:val="both"/>
        <w:rPr>
          <w:rFonts w:ascii="Times New Roman" w:hAnsi="Times New Roman"/>
          <w:lang w:eastAsia="en-GB"/>
        </w:rPr>
      </w:pPr>
      <w:r>
        <w:rPr>
          <w:rFonts w:ascii="Times New Roman" w:hAnsi="Times New Roman"/>
          <w:b/>
        </w:rPr>
        <w:t xml:space="preserve">3. </w:t>
      </w:r>
      <w:r w:rsidR="00B446D0" w:rsidRPr="0022374B">
        <w:rPr>
          <w:rFonts w:ascii="Times New Roman" w:hAnsi="Times New Roman"/>
          <w:b/>
        </w:rPr>
        <w:t>ALLAITEMENT PRECOCE ET EXCLUSIF</w:t>
      </w:r>
    </w:p>
    <w:p w:rsidR="00B446D0" w:rsidRPr="0022374B" w:rsidRDefault="00B446D0" w:rsidP="0022374B">
      <w:pPr>
        <w:spacing w:before="120"/>
        <w:jc w:val="both"/>
        <w:rPr>
          <w:rFonts w:ascii="Times New Roman" w:hAnsi="Times New Roman"/>
          <w:lang w:eastAsia="en-GB"/>
        </w:rPr>
      </w:pPr>
    </w:p>
    <w:p w:rsidR="00B446D0" w:rsidRPr="0022374B" w:rsidRDefault="00B446D0" w:rsidP="0022374B">
      <w:pPr>
        <w:spacing w:before="120"/>
        <w:jc w:val="both"/>
        <w:rPr>
          <w:rFonts w:ascii="Times New Roman" w:hAnsi="Times New Roman"/>
        </w:rPr>
      </w:pPr>
      <w:bookmarkStart w:id="5" w:name="_Toc302426118"/>
      <w:r w:rsidRPr="0022374B">
        <w:rPr>
          <w:rFonts w:ascii="Times New Roman" w:hAnsi="Times New Roman"/>
        </w:rPr>
        <w:t xml:space="preserve">L’OMS définit comme « allaitement précoce » celui pratiqué dans la première heure qui suit l’accouchement </w:t>
      </w:r>
      <w:r w:rsidR="008C092C" w:rsidRPr="0022374B">
        <w:rPr>
          <w:rFonts w:ascii="Times New Roman" w:hAnsi="Times New Roman"/>
          <w:lang w:eastAsia="ja-JP"/>
        </w:rPr>
        <w:fldChar w:fldCharType="begin"/>
      </w:r>
      <w:r w:rsidRPr="0022374B">
        <w:rPr>
          <w:rFonts w:ascii="Times New Roman" w:hAnsi="Times New Roman"/>
          <w:lang w:eastAsia="ja-JP"/>
        </w:rPr>
        <w:instrText xml:space="preserve"> ADDIN ZOTERO_ITEM CSL_CITATION {"citationID":"4t2Q0VvE","properties":{"formattedCitation":"(World Health Organization,, 2003)","plainCitation":"(World Health Organization,, 2003)"},"citationItems":[{"id":592,"uris":["http://zotero.org/users/1508073/items/683I356R"],"uri":["http://zotero.org/users/1508073/items/683I356R"],"itemData":{"id":592,"type":"book","title":"Global Strategy for Infant and Young Child feeding. 55th World Health Assembly","publisher":"World Health Organization","publisher-place":"Geneva","event-place":"Geneva","shortTitle":"Global Strategy for Infant and Young Child feeding. 55th World Health Assembly","author":[{"family":"World Health Organization,","given":""}],"issued":{"date-parts":[["2003"]]}}}],"schema":"https://github.com/citation-style-language/schema/raw/master/csl-citation.json"} </w:instrText>
      </w:r>
      <w:r w:rsidR="008C092C" w:rsidRPr="0022374B">
        <w:rPr>
          <w:rFonts w:ascii="Times New Roman" w:hAnsi="Times New Roman"/>
          <w:lang w:eastAsia="ja-JP"/>
        </w:rPr>
        <w:fldChar w:fldCharType="separate"/>
      </w:r>
      <w:r w:rsidRPr="0022374B">
        <w:rPr>
          <w:rFonts w:ascii="Times New Roman" w:hAnsi="Times New Roman"/>
          <w:noProof/>
          <w:lang w:eastAsia="ja-JP"/>
        </w:rPr>
        <w:t>(World Health Organization, 2003)</w:t>
      </w:r>
      <w:r w:rsidR="008C092C" w:rsidRPr="0022374B">
        <w:rPr>
          <w:rFonts w:ascii="Times New Roman" w:hAnsi="Times New Roman"/>
          <w:lang w:eastAsia="ja-JP"/>
        </w:rPr>
        <w:fldChar w:fldCharType="end"/>
      </w:r>
      <w:r w:rsidRPr="0022374B">
        <w:rPr>
          <w:rFonts w:ascii="Times New Roman" w:hAnsi="Times New Roman"/>
          <w:lang w:eastAsia="ja-JP"/>
        </w:rPr>
        <w:t xml:space="preserve"> et toutes les autres </w:t>
      </w:r>
      <w:r w:rsidRPr="0022374B">
        <w:rPr>
          <w:rFonts w:ascii="Times New Roman" w:hAnsi="Times New Roman"/>
        </w:rPr>
        <w:t xml:space="preserve">pratiques comme un « retard du début de l’allaitement ». C’est en effet primordial pour la survie et la santé néonatale qui peut réduire la mortalité néonatale de 45% </w:t>
      </w:r>
      <w:r w:rsidR="008C092C" w:rsidRPr="0022374B">
        <w:rPr>
          <w:rFonts w:ascii="Times New Roman" w:hAnsi="Times New Roman"/>
          <w:szCs w:val="28"/>
          <w:lang w:eastAsia="ja-JP"/>
        </w:rPr>
        <w:fldChar w:fldCharType="begin"/>
      </w:r>
      <w:r w:rsidRPr="0022374B">
        <w:rPr>
          <w:rFonts w:ascii="Times New Roman" w:hAnsi="Times New Roman"/>
          <w:szCs w:val="28"/>
          <w:lang w:eastAsia="ja-JP"/>
        </w:rPr>
        <w:instrText xml:space="preserve"> ADDIN ZOTERO_ITEM CSL_CITATION {"citationID":"2i1jgc4bkm","properties":{"formattedCitation":"(Bhutta et al., 2013)","plainCitation":"(Bhutta et al., 2013)"},"citationItems":[{"id":772,"uris":["http://zotero.org/users/1508073/items/QUGQ3NTJ"],"uri":["http://zotero.org/users/1508073/items/QUGQ3NTJ"],"itemData":{"id":772,"type":"article-journal","title":"Evidence-based interventions for improvement of maternal and child nutrition: what can be done and at what cost?","container-title":"Lancet","page":"452-477","volume":"382","issue":"9890","abstract":"Maternal undernutrition contributes to 800,000 neonatal deaths annually through small for gestational age births; stunting, wasting, and micronutrient deficiencies are estimated to underlie nearly 3·1 million child deaths annually. Progress has been made with many interventions implemented at scale and the evidence for effectiveness of nutrition interventions and delivery strategies has grown since The Lancet Series on Maternal and Child Undernutrition in 2008. We did a comprehensive update of interventions to address undernutrition and micronutrient deficiencies in women and children and used standard methods to assess emerging new evidence for delivery platforms. We modelled the effect on lives saved and cost of these interventions in the 34 countries that have 90% of the world's children with stunted growth. We also examined the effect of various delivery platforms and delivery options using community health workers to engage poor populations and promote behaviour change, access and uptake of interventions. Our analysis suggests the current total of deaths in children younger than 5 years can be reduced by 15% if populations can access ten evidence-based nutrition interventions at 90% coverage. Additionally, access to and uptake of iodised salt can alleviate iodine deficiency and improve health outcomes. Accelerated gains are possible and about a fifth of the existing burden of stunting can be averted using these approaches, if access is improved in this way. The estimated total additional annual cost involved for scaling up access to these ten direct nutrition interventions in the 34 focus countries is Int$9·6 billion per year. Continued investments in nutrition-specific interventions to avert maternal and child undernutrition and micronutrient deficiencies through community engagement and delivery strategies that can reach poor segments of the population at greatest risk can make a great difference. If this improved access is linked to nutrition-sensitive approaches--ie, women's empowerment, agriculture, food systems, education, employment, social protection, and safety nets--they can greatly accelerate progress in countries with the highest burden of maternal and child undernutrition and mortality.","DOI":"10.1016/S0140-6736(13)60996-4","ISSN":"1474-547X","note":"PMID: 23746776","journalAbbreviation":"Lancet","language":"eng","author":[{"family":"Bhutta","given":"Zulfiqar A"},{"family":"Das","given":"Jai K"},{"family":"Rizvi","given":"Arjumand"},{"family":"Gaffey","given":"Michelle F"},{"family":"Walker","given":"Neff"},{"family":"Horton","given":"Susan"},{"family":"Webb","given":"Patrick"},{"family":"Lartey","given":"Anna"},{"family":"Black","given":"Robert E"},{"family":"Lancet Nutrition Interventions Review Group","given":""},{"family":"Maternal and Child Nutrition Study Group","given":""}],"issued":{"date-parts":[["2013",8,3]]},"PMID":"23746776"}}],"schema":"https://github.com/citation-style-language/schema/raw/master/csl-citation.json"} </w:instrText>
      </w:r>
      <w:r w:rsidR="008C092C" w:rsidRPr="0022374B">
        <w:rPr>
          <w:rFonts w:ascii="Times New Roman" w:hAnsi="Times New Roman"/>
          <w:szCs w:val="28"/>
          <w:lang w:eastAsia="ja-JP"/>
        </w:rPr>
        <w:fldChar w:fldCharType="separate"/>
      </w:r>
      <w:r w:rsidRPr="0022374B">
        <w:rPr>
          <w:rFonts w:ascii="Times New Roman" w:hAnsi="Times New Roman"/>
          <w:noProof/>
          <w:szCs w:val="28"/>
          <w:lang w:eastAsia="ja-JP"/>
        </w:rPr>
        <w:t>(Bhutta et al., 2013)</w:t>
      </w:r>
      <w:r w:rsidR="008C092C" w:rsidRPr="0022374B">
        <w:rPr>
          <w:rFonts w:ascii="Times New Roman" w:hAnsi="Times New Roman"/>
          <w:szCs w:val="28"/>
          <w:lang w:eastAsia="ja-JP"/>
        </w:rPr>
        <w:fldChar w:fldCharType="end"/>
      </w:r>
      <w:r w:rsidRPr="0022374B">
        <w:rPr>
          <w:rFonts w:ascii="Times New Roman" w:hAnsi="Times New Roman"/>
          <w:szCs w:val="28"/>
          <w:lang w:eastAsia="ja-JP"/>
        </w:rPr>
        <w:t xml:space="preserve">. </w:t>
      </w:r>
      <w:r w:rsidRPr="0022374B">
        <w:rPr>
          <w:rFonts w:ascii="Times New Roman" w:hAnsi="Times New Roman"/>
        </w:rPr>
        <w:t xml:space="preserve">La méthode « mère kangourou » contribue également à augmenter de 27% l’allaitement continu dans les 4 premiers mois et plus </w:t>
      </w:r>
      <w:r w:rsidR="008C092C" w:rsidRPr="0022374B">
        <w:rPr>
          <w:rFonts w:ascii="Times New Roman" w:hAnsi="Times New Roman"/>
          <w:szCs w:val="28"/>
          <w:lang w:eastAsia="ja-JP"/>
        </w:rPr>
        <w:fldChar w:fldCharType="begin"/>
      </w:r>
      <w:r w:rsidRPr="0022374B">
        <w:rPr>
          <w:rFonts w:ascii="Times New Roman" w:hAnsi="Times New Roman"/>
          <w:szCs w:val="28"/>
          <w:lang w:eastAsia="ja-JP"/>
        </w:rPr>
        <w:instrText xml:space="preserve"> ADDIN ZOTERO_ITEM CSL_CITATION {"citationID":"1uo9ac61is","properties":{"formattedCitation":"(Moore et al., 2007)","plainCitation":"(Moore et al., 2007)"},"citationItems":[{"id":328,"uris":["http://zotero.org/users/1508073/items/TM94KP82"],"uri":["http://zotero.org/users/1508073/items/TM94KP82"],"itemData":{"id":328,"type":"article-journal","title":"Early skin-to-skin contact for mothers and their healthy newborn infants","container-title":"Cochrane Database Syst Rev","page":"CD003519","archive_location":"17636727","abstract":"BACKGROUND: Mother-infant separation postbirth is common in Western culture. Early skin-to-skin contact (SSC) begins ideally at birth and involves placing the naked baby, covered across the back with a warm blanket, prone on the mother's bare chest. According to mammalian neuroscience, the intimate contact inherent in this place (habitat) evokes neurobehaviors ensuring fulfillment of basic biological needs. This time may represent a psychophysiologically 'sensitive period' for programming future behavior. OBJECTIVES: To assess the effects of early SSC on breastfeeding, behavior, and physiological adaptation in healthy mother-newborn dyads. SEARCH STRATEGY: Cochrane Pregnancy and Childbirth Group's and Neonatal Group's Trials Registers (August 2006), Cochrane Central Register of Controlled Trials (The Cochrane Library 2006, Issue 2), MEDLINE (1976 to 2006). SELECTION CRITERIA: Randomized and quasi-randomized clinical trials comparing early SSC with usual hospital care. DATA COLLECTION AND ANALYSIS: We independently assessed trial quality and extracted data. Study authors were contacted for additional information. MAIN RESULTS: Thirty studies involving 1925 participants (mother-infant dyads), were included. Data from more than two trials were available for only 8-of-64 outcome measures. We found statistically significant and positive effects of early SSC on breastfeeding at one to four months postbirth (10 trials; 552 participants) (odds ratio (OR) 1.82, 95% confidence interval (CI) 1.08 to 3.07), and breastfeeding duration (seven trials; 324 participants) (weighted mean difference (WMD) 42.55, 95% CI -1.69 to 86.79). Trends were found for improved summary scores for maternal affectionate love/touch during observed breastfeeding (four trials; 314 participants) (standardized mean difference (SMD) 0.52, 95% CI 0.07 to 0.98) and maternal attachment behavior (six trials; 396 participants) (SMD 0.52, 95% CI 0.31 to 0.72) with early SSC. SSC infants cried for a shorter length of time (one trial; 44 participants) (WMD -8.01, 95% CI -8.98 to -7.04). Late preterm infants had better cardio-respiratory stability with early SSC (one trial; 35 participants) (WMD 2.88, 95% CI 0.53 to 5.23). No adverse effects were found. AUTHORS' CONCLUSIONS: Limitations included methodological quality, variations in intervention implementation, and outcome variability. The intervention may benefit breastfeeding outcomes, early mother-infant attachment, infant crying and cardio-respiratory stability, and has no apparent short or long-term negative effects. Further investigation is recommended. To facilitate meta-analysis, future research should be done using outcome measures consistent with those in the studies included here. Published reports should clearly indicate if the intervention was SSC and include means, standard deviations, exact probability values, and data to measure intervention dose.","ISSN":"1469-493X (Electronic)","note":"3","shortTitle":"Early skin-to-skin contact for mothers and their healthy newborn infants","author":[{"family":"Moore","given":"E."},{"family":"Anderson","given":"G."},{"family":"Bergman","given":"N."}],"issued":{"date-parts":[["2007"]]}}}],"schema":"https://github.com/citation-style-language/schema/raw/master/csl-citation.json"} </w:instrText>
      </w:r>
      <w:r w:rsidR="008C092C" w:rsidRPr="0022374B">
        <w:rPr>
          <w:rFonts w:ascii="Times New Roman" w:hAnsi="Times New Roman"/>
          <w:szCs w:val="28"/>
          <w:lang w:eastAsia="ja-JP"/>
        </w:rPr>
        <w:fldChar w:fldCharType="separate"/>
      </w:r>
      <w:r w:rsidRPr="0022374B">
        <w:rPr>
          <w:rFonts w:ascii="Times New Roman" w:hAnsi="Times New Roman"/>
          <w:noProof/>
          <w:szCs w:val="28"/>
          <w:lang w:eastAsia="ja-JP"/>
        </w:rPr>
        <w:t>(Moore et al., 2007)</w:t>
      </w:r>
      <w:r w:rsidR="008C092C" w:rsidRPr="0022374B">
        <w:rPr>
          <w:rFonts w:ascii="Times New Roman" w:hAnsi="Times New Roman"/>
          <w:szCs w:val="28"/>
          <w:lang w:eastAsia="ja-JP"/>
        </w:rPr>
        <w:fldChar w:fldCharType="end"/>
      </w:r>
      <w:r w:rsidRPr="0022374B">
        <w:rPr>
          <w:rFonts w:ascii="Times New Roman" w:hAnsi="Times New Roman"/>
          <w:szCs w:val="28"/>
          <w:lang w:eastAsia="ja-JP"/>
        </w:rPr>
        <w:t xml:space="preserve">. </w:t>
      </w:r>
      <w:r w:rsidRPr="0022374B">
        <w:rPr>
          <w:rFonts w:ascii="Times New Roman" w:hAnsi="Times New Roman"/>
        </w:rPr>
        <w:t xml:space="preserve">Les enfants devraient être allaités exclusivement pendant les 6 premiers mois après la naissance </w:t>
      </w:r>
      <w:r w:rsidR="008C092C" w:rsidRPr="0022374B">
        <w:rPr>
          <w:rFonts w:ascii="Times New Roman" w:hAnsi="Times New Roman"/>
          <w:lang w:eastAsia="ja-JP"/>
        </w:rPr>
        <w:fldChar w:fldCharType="begin"/>
      </w:r>
      <w:r w:rsidRPr="0022374B">
        <w:rPr>
          <w:rFonts w:ascii="Times New Roman" w:hAnsi="Times New Roman"/>
          <w:lang w:eastAsia="ja-JP"/>
        </w:rPr>
        <w:instrText xml:space="preserve"> ADDIN ZOTERO_ITEM CSL_CITATION {"citationID":"vLDY91hK","properties":{"formattedCitation":"(World Health Organization,, 2003)","plainCitation":"(World Health Organization,, 2003)"},"citationItems":[{"id":592,"uris":["http://zotero.org/users/1508073/items/683I356R"],"uri":["http://zotero.org/users/1508073/items/683I356R"],"itemData":{"id":592,"type":"book","title":"Global Strategy for Infant and Young Child feeding. 55th World Health Assembly","publisher":"World Health Organization","publisher-place":"Geneva","event-place":"Geneva","shortTitle":"Global Strategy for Infant and Young Child feeding. 55th World Health Assembly","author":[{"family":"World Health Organization,","given":""}],"issued":{"date-parts":[["2003"]]}}}],"schema":"https://github.com/citation-style-language/schema/raw/master/csl-citation.json"} </w:instrText>
      </w:r>
      <w:r w:rsidR="008C092C" w:rsidRPr="0022374B">
        <w:rPr>
          <w:rFonts w:ascii="Times New Roman" w:hAnsi="Times New Roman"/>
          <w:lang w:eastAsia="ja-JP"/>
        </w:rPr>
        <w:fldChar w:fldCharType="separate"/>
      </w:r>
      <w:r w:rsidRPr="0022374B">
        <w:rPr>
          <w:rFonts w:ascii="Times New Roman" w:hAnsi="Times New Roman"/>
          <w:noProof/>
          <w:lang w:eastAsia="ja-JP"/>
        </w:rPr>
        <w:t>(World Health Organization, 2003)</w:t>
      </w:r>
      <w:r w:rsidR="008C092C" w:rsidRPr="0022374B">
        <w:rPr>
          <w:rFonts w:ascii="Times New Roman" w:hAnsi="Times New Roman"/>
          <w:lang w:eastAsia="ja-JP"/>
        </w:rPr>
        <w:fldChar w:fldCharType="end"/>
      </w:r>
      <w:r w:rsidRPr="0022374B">
        <w:rPr>
          <w:rFonts w:ascii="Times New Roman" w:hAnsi="Times New Roman"/>
          <w:lang w:eastAsia="ja-JP"/>
        </w:rPr>
        <w:t xml:space="preserve">, car </w:t>
      </w:r>
      <w:r w:rsidRPr="0022374B">
        <w:rPr>
          <w:rFonts w:ascii="Times New Roman" w:hAnsi="Times New Roman"/>
        </w:rPr>
        <w:t>le lait maternel procure les nutriments essentiels à la croissance durant cette période</w:t>
      </w:r>
      <w:r w:rsidRPr="0022374B">
        <w:rPr>
          <w:rFonts w:ascii="Times New Roman" w:hAnsi="Times New Roman"/>
          <w:lang w:eastAsia="ja-JP"/>
        </w:rPr>
        <w:t>.</w:t>
      </w:r>
      <w:r w:rsidRPr="0022374B">
        <w:rPr>
          <w:rFonts w:ascii="Times New Roman" w:hAnsi="Times New Roman"/>
        </w:rPr>
        <w:t xml:space="preserve"> </w:t>
      </w:r>
    </w:p>
    <w:p w:rsidR="00B446D0" w:rsidRPr="0022374B" w:rsidRDefault="00B446D0" w:rsidP="0022374B">
      <w:pPr>
        <w:spacing w:before="120"/>
        <w:jc w:val="both"/>
        <w:rPr>
          <w:rFonts w:ascii="Times New Roman" w:hAnsi="Times New Roman"/>
        </w:rPr>
      </w:pPr>
    </w:p>
    <w:p w:rsidR="00B446D0" w:rsidRPr="0022374B" w:rsidRDefault="00B446D0" w:rsidP="0022374B">
      <w:pPr>
        <w:spacing w:before="120"/>
        <w:jc w:val="both"/>
        <w:rPr>
          <w:rFonts w:ascii="Times New Roman" w:hAnsi="Times New Roman"/>
          <w:lang w:eastAsia="en-GB"/>
        </w:rPr>
      </w:pPr>
      <w:r w:rsidRPr="0022374B">
        <w:rPr>
          <w:rFonts w:ascii="Times New Roman" w:hAnsi="Times New Roman"/>
        </w:rPr>
        <w:lastRenderedPageBreak/>
        <w:t xml:space="preserve">C’est la meilleure prévention des risques de maladies infectieuses et de mortalité grâce au renforcement du système immunitaire de nouveau-nés et des jeunes enfants. L’allaitement exclusif réduit de 13% la mortalité des enfants de moins de 5 ans </w:t>
      </w:r>
      <w:r w:rsidR="008C092C" w:rsidRPr="0022374B">
        <w:rPr>
          <w:rFonts w:ascii="Times New Roman" w:hAnsi="Times New Roman"/>
          <w:lang w:eastAsia="ja-JP"/>
        </w:rPr>
        <w:fldChar w:fldCharType="begin"/>
      </w:r>
      <w:r w:rsidRPr="0022374B">
        <w:rPr>
          <w:rFonts w:ascii="Times New Roman" w:hAnsi="Times New Roman"/>
          <w:lang w:eastAsia="ja-JP"/>
        </w:rPr>
        <w:instrText xml:space="preserve"> ADDIN ZOTERO_ITEM CSL_CITATION {"citationID":"ijhtgksce","properties":{"formattedCitation":"(Black et al., 2013)","plainCitation":"(Black et al., 2013)"},"citationItems":[{"id":617,"uris":["http://zotero.org/users/1508073/items/RGZGW6DE"],"uri":["http://zotero.org/users/1508073/items/RGZGW6DE"],"itemData":{"id":617,"type":"article-journal","title":"Maternal and child undernutrition and overweight in low-income and middle-income countries","container-title":"Lancet","abstract":"Maternal and child malnutrition in low-income and middle-income countries encompasses both undernutrition and a growing problem with overweight and obesity. Low body-mass index, indicative of maternal undernutrition, has declined somewhat in the past two decades but continues to be prevalent in Asia and Africa. Prevalence of maternal overweight has had a steady increase since 1980 and exceeds that of underweight in all regions. Prevalence of stunting of linear growth of children younger than 5 years has decreased during the past two decades, but is higher in south Asia and sub-Saharan Africa than elsewhere and globally affected at least 165 million children in 2011; wasting affected at least 52 million children. Deficiencies of vitamin A and zinc result in deaths; deficiencies of iodine and iron, together with stunting, can contribute to children not reaching their developmental potential. Maternal undernutrition contributes to fetal growth restriction, which increases the risk of neonatal deaths and, for survivors, of stunting by 2 years of age. Suboptimum breastfeeding results in an increased risk for mortality in the first 2 years of life. We estimate that undernutrition in the aggregate-including fetal growth restriction, stunting, wasting, and deficiencies of vitamin A and zinc along with suboptimum breastfeeding-is a cause of 3·1 million child deaths annually or 45% of all child deaths in 2011. Maternal overweight and obesity result in increased maternal morbidity and infant mortality. Childhood overweight is becoming an increasingly important contributor to adult obesity, diabetes, and non-communicable diseases. The high present and future disease burden caused by malnutrition in women of reproductive age, pregnancy, and children in the first 2 years of life should lead to interventions focused on these groups.","DOI":"10.1016/S0140-6736(13)60937-X","ISSN":"1474-547X","note":"PMID: 23746772","journalAbbreviation":"Lancet","language":"ENG","author":[{"family":"Black","given":"Robert E"},{"family":"Victora","given":"Cesar G"},{"family":"Walker","given":"Susan P"},{"family":"Bhutta","given":"Zulfiqar A"},{"family":"Christian","given":"Parul"},{"family":"de Onis","given":"Mercedes"},{"family":"Ezzati","given":"Majid"},{"family":"Grantham-McGregor","given":"Sally"},{"family":"Katz","given":"Joanne"},{"family":"Martorell","given":"Reynaldo"},{"family":"Uauy","given":"Ricardo"},{"family":"the Maternal and Child Nutrition Study Group","given":""}],"issued":{"date-parts":[["2013",6,6]]},"PMID":"23746772"}}],"schema":"https://github.com/citation-style-language/schema/raw/master/csl-citation.json"} </w:instrText>
      </w:r>
      <w:r w:rsidR="008C092C" w:rsidRPr="0022374B">
        <w:rPr>
          <w:rFonts w:ascii="Times New Roman" w:hAnsi="Times New Roman"/>
          <w:lang w:eastAsia="ja-JP"/>
        </w:rPr>
        <w:fldChar w:fldCharType="separate"/>
      </w:r>
      <w:r w:rsidRPr="0022374B">
        <w:rPr>
          <w:rFonts w:ascii="Times New Roman" w:hAnsi="Times New Roman"/>
          <w:noProof/>
          <w:lang w:eastAsia="ja-JP"/>
        </w:rPr>
        <w:t>(Black et al., 2013)</w:t>
      </w:r>
      <w:r w:rsidR="008C092C" w:rsidRPr="0022374B">
        <w:rPr>
          <w:rFonts w:ascii="Times New Roman" w:hAnsi="Times New Roman"/>
          <w:lang w:eastAsia="ja-JP"/>
        </w:rPr>
        <w:fldChar w:fldCharType="end"/>
      </w:r>
      <w:r w:rsidRPr="0022374B">
        <w:rPr>
          <w:rFonts w:ascii="Times New Roman" w:hAnsi="Times New Roman"/>
          <w:lang w:eastAsia="ja-JP"/>
        </w:rPr>
        <w:t xml:space="preserve">. </w:t>
      </w:r>
      <w:r w:rsidRPr="0022374B">
        <w:rPr>
          <w:rFonts w:ascii="Times New Roman" w:hAnsi="Times New Roman"/>
        </w:rPr>
        <w:t xml:space="preserve">La diarrhée et les maladies pulmonaires, qui constituent les principales causes de la mortalité des enfants de moins de 5 ans, peuvent être réduit respectivement de 46% et de 25% chez les enfants exclusivement allaités </w:t>
      </w:r>
      <w:r w:rsidR="008C092C" w:rsidRPr="0022374B">
        <w:rPr>
          <w:rFonts w:ascii="Times New Roman" w:hAnsi="Times New Roman"/>
          <w:lang w:eastAsia="ja-JP"/>
        </w:rPr>
        <w:fldChar w:fldCharType="begin"/>
      </w:r>
      <w:r w:rsidRPr="0022374B">
        <w:rPr>
          <w:rFonts w:ascii="Times New Roman" w:hAnsi="Times New Roman"/>
          <w:lang w:eastAsia="ja-JP"/>
        </w:rPr>
        <w:instrText xml:space="preserve"> ADDIN ZOTERO_ITEM CSL_CITATION {"citationID":"rmmh4jqv2","properties":{"formattedCitation":"(Black, 2008)","plainCitation":"(Black, 2008)"},"citationItems":[{"id":17,"uris":["http://zotero.org/users/1508073/items/59P3M86M"],"uri":["http://zotero.org/users/1508073/items/59P3M86M"],"itemData":{"id":17,"type":"article-journal","title":"Maternal and Child Undernutrition 1 Maternal and child undernutrition: global and regional exposures and health consequences","container-title":"Lancet","author":[{"family":"Black","given":""}],"issued":{"date-parts":[["2008"]]}}}],"schema":"https://github.com/citation-style-language/schema/raw/master/csl-citation.json"} </w:instrText>
      </w:r>
      <w:r w:rsidR="008C092C" w:rsidRPr="0022374B">
        <w:rPr>
          <w:rFonts w:ascii="Times New Roman" w:hAnsi="Times New Roman"/>
          <w:lang w:eastAsia="ja-JP"/>
        </w:rPr>
        <w:fldChar w:fldCharType="separate"/>
      </w:r>
      <w:r w:rsidRPr="0022374B">
        <w:rPr>
          <w:rFonts w:ascii="Times New Roman" w:hAnsi="Times New Roman"/>
          <w:noProof/>
          <w:lang w:eastAsia="ja-JP"/>
        </w:rPr>
        <w:t>(Black, 2008)</w:t>
      </w:r>
      <w:r w:rsidR="008C092C" w:rsidRPr="0022374B">
        <w:rPr>
          <w:rFonts w:ascii="Times New Roman" w:hAnsi="Times New Roman"/>
          <w:lang w:eastAsia="ja-JP"/>
        </w:rPr>
        <w:fldChar w:fldCharType="end"/>
      </w:r>
      <w:r w:rsidRPr="0022374B">
        <w:rPr>
          <w:rFonts w:ascii="Times New Roman" w:hAnsi="Times New Roman"/>
          <w:lang w:eastAsia="ja-JP"/>
        </w:rPr>
        <w:t xml:space="preserve">. </w:t>
      </w:r>
      <w:bookmarkEnd w:id="5"/>
      <w:r w:rsidRPr="0022374B">
        <w:rPr>
          <w:rFonts w:ascii="Times New Roman" w:hAnsi="Times New Roman"/>
          <w:lang w:eastAsia="en-GB"/>
        </w:rPr>
        <w:t xml:space="preserve">Au Ghana, Edmond, K. (2006) et al.ont démontré pour la première fois en Afrique sub-Saharienne que la mise au sein réduisait la mortalité néonatale de 16 % (si dans la journée) et de 21% s (si allaitement dans l’heure).  Une étude récente publiée par le Lancet indique une réduction de 45 % en cas d’allaitement dans la journée </w:t>
      </w:r>
      <w:r w:rsidR="008C092C" w:rsidRPr="0022374B">
        <w:rPr>
          <w:rFonts w:ascii="Times New Roman" w:hAnsi="Times New Roman"/>
          <w:lang w:eastAsia="en-GB"/>
        </w:rPr>
        <w:fldChar w:fldCharType="begin"/>
      </w:r>
      <w:r w:rsidRPr="0022374B">
        <w:rPr>
          <w:rFonts w:ascii="Times New Roman" w:hAnsi="Times New Roman"/>
          <w:lang w:eastAsia="en-GB"/>
        </w:rPr>
        <w:instrText xml:space="preserve"> ADDIN ZOTERO_ITEM CSL_CITATION {"citationID":"1jo9h6qo6v","properties":{"formattedCitation":"(2)","plainCitation":"(2)"},"citationItems":[{"id":772,"uris":["http://zotero.org/users/1508073/items/QUGQ3NTJ"],"uri":["http://zotero.org/users/1508073/items/QUGQ3NTJ"],"itemData":{"id":772,"type":"article-journal","title":"Evidence-based interventions for improvement of maternal and child nutrition: what can be done and at what cost?","container-title":"Lancet","page":"452-477","volume":"382","issue":"9890","abstract":"Maternal undernutrition contributes to 800,000 neonatal deaths annually through small for gestational age births; stunting, wasting, and micronutrient deficiencies are estimated to underlie nearly 3·1 million child deaths annually. Progress has been made with many interventions implemented at scale and the evidence for effectiveness of nutrition interventions and delivery strategies has grown since The Lancet Series on Maternal and Child Undernutrition in 2008. We did a comprehensive update of interventions to address undernutrition and micronutrient deficiencies in women and children and used standard methods to assess emerging new evidence for delivery platforms. We modelled the effect on lives saved and cost of these interventions in the 34 countries that have 90% of the world's children with stunted growth. We also examined the effect of various delivery platforms and delivery options using community health workers to engage poor populations and promote behaviour change, access and uptake of interventions. Our analysis suggests the current total of deaths in children younger than 5 years can be reduced by 15% if populations can access ten evidence-based nutrition interventions at 90% coverage. Additionally, access to and uptake of iodised salt can alleviate iodine deficiency and improve health outcomes. Accelerated gains are possible and about a fifth of the existing burden of stunting can be averted using these approaches, if access is improved in this way. The estimated total additional annual cost involved for scaling up access to these ten direct nutrition interventions in the 34 focus countries is Int$9·6 billion per year. Continued investments in nutrition-specific interventions to avert maternal and child undernutrition and micronutrient deficiencies through community engagement and delivery strategies that can reach poor segments of the population at greatest risk can make a great difference. If this improved access is linked to nutrition-sensitive approaches--ie, women's empowerment, agriculture, food systems, education, employment, social protection, and safety nets--they can greatly accelerate progress in countries with the highest burden of maternal and child undernutrition and mortality.","DOI":"10.1016/S0140-6736(13)60996-4","ISSN":"1474-547X","note":"PMID: 23746776","journalAbbreviation":"Lancet","language":"eng","author":[{"family":"Bhutta","given":"Zulfiqar A"},{"family":"Das","given":"Jai K"},{"family":"Rizvi","given":"Arjumand"},{"family":"Gaffey","given":"Michelle F"},{"family":"Walker","given":"Neff"},{"family":"Horton","given":"Susan"},{"family":"Webb","given":"Patrick"},{"family":"Lartey","given":"Anna"},{"family":"Black","given":"Robert E"},{"family":"Lancet Nutrition Interventions Review Group","given":""},{"family":"Maternal and Child Nutrition Study Group","given":""}],"issued":{"date-parts":[["2013",8,3]]},"PMID":"23746776"}}],"schema":"https://github.com/citation-style-language/schema/raw/master/csl-citation.json"} </w:instrText>
      </w:r>
      <w:r w:rsidR="008C092C" w:rsidRPr="0022374B">
        <w:rPr>
          <w:rFonts w:ascii="Times New Roman" w:hAnsi="Times New Roman"/>
          <w:lang w:eastAsia="en-GB"/>
        </w:rPr>
        <w:fldChar w:fldCharType="separate"/>
      </w:r>
      <w:r w:rsidRPr="0022374B">
        <w:rPr>
          <w:rFonts w:ascii="Times New Roman" w:hAnsi="Times New Roman"/>
          <w:lang w:eastAsia="en-GB"/>
        </w:rPr>
        <w:t>(</w:t>
      </w:r>
      <w:r w:rsidRPr="0022374B">
        <w:rPr>
          <w:rFonts w:ascii="Times New Roman" w:hAnsi="Times New Roman"/>
        </w:rPr>
        <w:t>Bhutta ZA et al., 2013)</w:t>
      </w:r>
      <w:r w:rsidR="008C092C" w:rsidRPr="0022374B">
        <w:rPr>
          <w:rFonts w:ascii="Times New Roman" w:hAnsi="Times New Roman"/>
          <w:lang w:eastAsia="en-GB"/>
        </w:rPr>
        <w:fldChar w:fldCharType="end"/>
      </w:r>
      <w:r w:rsidRPr="0022374B">
        <w:rPr>
          <w:rFonts w:ascii="Times New Roman" w:hAnsi="Times New Roman"/>
          <w:lang w:eastAsia="en-GB"/>
        </w:rPr>
        <w:t>. Qu’en est-il au Bénin ?</w:t>
      </w:r>
    </w:p>
    <w:p w:rsidR="00B446D0" w:rsidRPr="0022374B" w:rsidRDefault="00B446D0" w:rsidP="0022374B">
      <w:pPr>
        <w:spacing w:before="120"/>
        <w:jc w:val="both"/>
        <w:rPr>
          <w:rFonts w:ascii="Times New Roman" w:hAnsi="Times New Roman"/>
          <w:b/>
        </w:rPr>
      </w:pPr>
    </w:p>
    <w:p w:rsidR="00B446D0" w:rsidRPr="0022374B" w:rsidRDefault="00B446D0" w:rsidP="00CD18E4">
      <w:pPr>
        <w:spacing w:before="120"/>
        <w:jc w:val="center"/>
        <w:rPr>
          <w:rFonts w:ascii="Times New Roman" w:hAnsi="Times New Roman"/>
          <w:b/>
        </w:rPr>
      </w:pPr>
      <w:r w:rsidRPr="0022374B">
        <w:rPr>
          <w:rFonts w:ascii="Times New Roman" w:hAnsi="Times New Roman"/>
          <w:b/>
        </w:rPr>
        <w:t>Tableau NU.3 : Allaitement précoce et exclusif</w:t>
      </w:r>
    </w:p>
    <w:p w:rsidR="00B446D0" w:rsidRPr="0022374B" w:rsidRDefault="00B446D0" w:rsidP="0022374B">
      <w:pPr>
        <w:spacing w:before="120"/>
        <w:jc w:val="both"/>
        <w:rPr>
          <w:rFonts w:ascii="Times New Roman" w:hAnsi="Times New Roman"/>
        </w:rPr>
      </w:pPr>
    </w:p>
    <w:p w:rsidR="00B446D0" w:rsidRPr="0022374B" w:rsidRDefault="00B446D0" w:rsidP="0022374B">
      <w:pPr>
        <w:spacing w:before="120"/>
        <w:jc w:val="both"/>
        <w:rPr>
          <w:rFonts w:ascii="Times New Roman" w:hAnsi="Times New Roman"/>
          <w:b/>
        </w:rPr>
      </w:pPr>
      <w:r w:rsidRPr="0022374B">
        <w:rPr>
          <w:rFonts w:ascii="Times New Roman" w:hAnsi="Times New Roman"/>
        </w:rPr>
        <w:t xml:space="preserve">Pourcentage des derniers-nés nés vivants </w:t>
      </w:r>
      <w:r w:rsidRPr="0022374B">
        <w:rPr>
          <w:rFonts w:ascii="Times New Roman" w:hAnsi="Times New Roman"/>
          <w:bCs/>
        </w:rPr>
        <w:t xml:space="preserve">nés de Mères adolescentes (15-19ans), de Jeunes mères adultes (20-24 ans) et de l’Ensemble des mères (15-49 ans) </w:t>
      </w:r>
      <w:r w:rsidRPr="0022374B">
        <w:rPr>
          <w:rFonts w:ascii="Times New Roman" w:hAnsi="Times New Roman"/>
        </w:rPr>
        <w:t>au cours des 2 dernières années qui ont été allaités au sein dans l'heure qui a suivi la naissance et dans la journée qui a suivi la naissance selon les caractéristiques socio-économiques.</w:t>
      </w: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7"/>
        <w:gridCol w:w="869"/>
        <w:gridCol w:w="38"/>
        <w:gridCol w:w="1013"/>
        <w:gridCol w:w="788"/>
        <w:gridCol w:w="1051"/>
        <w:gridCol w:w="919"/>
        <w:gridCol w:w="788"/>
        <w:gridCol w:w="8"/>
        <w:gridCol w:w="912"/>
        <w:gridCol w:w="919"/>
        <w:gridCol w:w="788"/>
      </w:tblGrid>
      <w:tr w:rsidR="00B446D0" w:rsidRPr="0022374B" w:rsidTr="00CD18E4">
        <w:trPr>
          <w:trHeight w:val="137"/>
        </w:trPr>
        <w:tc>
          <w:tcPr>
            <w:tcW w:w="1526" w:type="dxa"/>
            <w:vAlign w:val="center"/>
          </w:tcPr>
          <w:p w:rsidR="00B446D0" w:rsidRPr="0022374B" w:rsidRDefault="00B446D0" w:rsidP="0022374B">
            <w:pPr>
              <w:widowControl w:val="0"/>
              <w:spacing w:before="120"/>
              <w:jc w:val="both"/>
              <w:rPr>
                <w:rFonts w:ascii="Times New Roman" w:hAnsi="Times New Roman"/>
                <w:bCs/>
              </w:rPr>
            </w:pPr>
          </w:p>
        </w:tc>
        <w:tc>
          <w:tcPr>
            <w:tcW w:w="2815" w:type="dxa"/>
            <w:gridSpan w:val="5"/>
          </w:tcPr>
          <w:p w:rsidR="00B446D0" w:rsidRPr="0022374B" w:rsidRDefault="00B446D0" w:rsidP="00CD18E4">
            <w:pPr>
              <w:widowControl w:val="0"/>
              <w:spacing w:before="120"/>
              <w:jc w:val="center"/>
              <w:rPr>
                <w:rFonts w:ascii="Times New Roman" w:hAnsi="Times New Roman"/>
              </w:rPr>
            </w:pPr>
            <w:r w:rsidRPr="0022374B">
              <w:rPr>
                <w:rFonts w:ascii="Times New Roman" w:hAnsi="Times New Roman"/>
              </w:rPr>
              <w:t>Adolescentes</w:t>
            </w:r>
          </w:p>
        </w:tc>
        <w:tc>
          <w:tcPr>
            <w:tcW w:w="2758" w:type="dxa"/>
            <w:gridSpan w:val="3"/>
          </w:tcPr>
          <w:p w:rsidR="00B446D0" w:rsidRPr="0022374B" w:rsidRDefault="00B446D0" w:rsidP="00CD18E4">
            <w:pPr>
              <w:widowControl w:val="0"/>
              <w:spacing w:before="120"/>
              <w:jc w:val="center"/>
              <w:rPr>
                <w:rFonts w:ascii="Times New Roman" w:hAnsi="Times New Roman"/>
              </w:rPr>
            </w:pPr>
            <w:r w:rsidRPr="0022374B">
              <w:rPr>
                <w:rFonts w:ascii="Times New Roman" w:hAnsi="Times New Roman"/>
              </w:rPr>
              <w:t>Jeunes mères</w:t>
            </w:r>
          </w:p>
        </w:tc>
        <w:tc>
          <w:tcPr>
            <w:tcW w:w="2627" w:type="dxa"/>
            <w:gridSpan w:val="4"/>
            <w:vAlign w:val="center"/>
          </w:tcPr>
          <w:p w:rsidR="00B446D0" w:rsidRPr="0022374B" w:rsidRDefault="00B446D0" w:rsidP="00CD18E4">
            <w:pPr>
              <w:widowControl w:val="0"/>
              <w:spacing w:before="120"/>
              <w:jc w:val="center"/>
              <w:rPr>
                <w:rFonts w:ascii="Times New Roman" w:hAnsi="Times New Roman"/>
              </w:rPr>
            </w:pPr>
            <w:r w:rsidRPr="0022374B">
              <w:rPr>
                <w:rFonts w:ascii="Times New Roman" w:hAnsi="Times New Roman"/>
              </w:rPr>
              <w:t>Ensemble des mères</w:t>
            </w:r>
          </w:p>
        </w:tc>
      </w:tr>
      <w:tr w:rsidR="00B446D0" w:rsidRPr="0022374B" w:rsidTr="00CD18E4">
        <w:trPr>
          <w:trHeight w:val="137"/>
        </w:trPr>
        <w:tc>
          <w:tcPr>
            <w:tcW w:w="1526" w:type="dxa"/>
            <w:vAlign w:val="center"/>
          </w:tcPr>
          <w:p w:rsidR="00B446D0" w:rsidRPr="0022374B" w:rsidRDefault="00B446D0" w:rsidP="0022374B">
            <w:pPr>
              <w:widowControl w:val="0"/>
              <w:spacing w:before="120"/>
              <w:jc w:val="both"/>
              <w:rPr>
                <w:rFonts w:ascii="Times New Roman" w:hAnsi="Times New Roman"/>
                <w:bCs/>
              </w:rPr>
            </w:pPr>
          </w:p>
        </w:tc>
        <w:tc>
          <w:tcPr>
            <w:tcW w:w="1014" w:type="dxa"/>
            <w:gridSpan w:val="3"/>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Dans l'heure </w:t>
            </w:r>
          </w:p>
        </w:tc>
        <w:tc>
          <w:tcPr>
            <w:tcW w:w="1013"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Dans la journée </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1051"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Dans l'heure </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Dans la journée </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c>
          <w:tcPr>
            <w:tcW w:w="920" w:type="dxa"/>
            <w:gridSpan w:val="2"/>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Dans l'heure </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 xml:space="preserve">Dans la journée </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N</w:t>
            </w:r>
          </w:p>
        </w:tc>
      </w:tr>
      <w:tr w:rsidR="00B446D0" w:rsidRPr="0022374B" w:rsidTr="00CD18E4">
        <w:trPr>
          <w:trHeight w:val="442"/>
        </w:trPr>
        <w:tc>
          <w:tcPr>
            <w:tcW w:w="1526"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Total</w:t>
            </w:r>
          </w:p>
        </w:tc>
        <w:tc>
          <w:tcPr>
            <w:tcW w:w="1014" w:type="dxa"/>
            <w:gridSpan w:val="3"/>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41,0</w:t>
            </w:r>
          </w:p>
          <w:p w:rsidR="00B446D0" w:rsidRPr="0022374B" w:rsidRDefault="00B446D0" w:rsidP="0022374B">
            <w:pPr>
              <w:spacing w:before="120"/>
              <w:jc w:val="both"/>
              <w:rPr>
                <w:rFonts w:ascii="Times New Roman" w:hAnsi="Times New Roman"/>
                <w:bCs/>
              </w:rPr>
            </w:pPr>
          </w:p>
        </w:tc>
        <w:tc>
          <w:tcPr>
            <w:tcW w:w="1013" w:type="dxa"/>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78,7</w:t>
            </w:r>
          </w:p>
          <w:p w:rsidR="00B446D0" w:rsidRPr="0022374B" w:rsidRDefault="00B446D0" w:rsidP="0022374B">
            <w:pPr>
              <w:spacing w:before="120"/>
              <w:jc w:val="both"/>
              <w:rPr>
                <w:rFonts w:ascii="Times New Roman" w:hAnsi="Times New Roman"/>
                <w:bCs/>
              </w:rPr>
            </w:pPr>
          </w:p>
        </w:tc>
        <w:tc>
          <w:tcPr>
            <w:tcW w:w="788" w:type="dxa"/>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369</w:t>
            </w:r>
          </w:p>
          <w:p w:rsidR="00B446D0" w:rsidRPr="0022374B" w:rsidRDefault="00B446D0" w:rsidP="0022374B">
            <w:pPr>
              <w:widowControl w:val="0"/>
              <w:spacing w:before="120"/>
              <w:jc w:val="both"/>
              <w:rPr>
                <w:rFonts w:ascii="Times New Roman" w:hAnsi="Times New Roman"/>
                <w:bCs/>
              </w:rPr>
            </w:pPr>
          </w:p>
        </w:tc>
        <w:tc>
          <w:tcPr>
            <w:tcW w:w="1051" w:type="dxa"/>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41,4</w:t>
            </w:r>
          </w:p>
          <w:p w:rsidR="00B446D0" w:rsidRPr="0022374B" w:rsidRDefault="00B446D0" w:rsidP="0022374B">
            <w:pPr>
              <w:spacing w:before="120"/>
              <w:jc w:val="both"/>
              <w:rPr>
                <w:rFonts w:ascii="Times New Roman" w:hAnsi="Times New Roman"/>
                <w:bCs/>
              </w:rPr>
            </w:pPr>
          </w:p>
        </w:tc>
        <w:tc>
          <w:tcPr>
            <w:tcW w:w="919" w:type="dxa"/>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81,7</w:t>
            </w:r>
          </w:p>
          <w:p w:rsidR="00B446D0" w:rsidRPr="0022374B" w:rsidRDefault="00B446D0" w:rsidP="0022374B">
            <w:pPr>
              <w:spacing w:before="120"/>
              <w:jc w:val="both"/>
              <w:rPr>
                <w:rFonts w:ascii="Times New Roman" w:hAnsi="Times New Roman"/>
                <w:bCs/>
              </w:rPr>
            </w:pPr>
          </w:p>
        </w:tc>
        <w:tc>
          <w:tcPr>
            <w:tcW w:w="788" w:type="dxa"/>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1260</w:t>
            </w:r>
          </w:p>
          <w:p w:rsidR="00B446D0" w:rsidRPr="0022374B" w:rsidRDefault="00B446D0" w:rsidP="0022374B">
            <w:pPr>
              <w:widowControl w:val="0"/>
              <w:spacing w:before="120"/>
              <w:jc w:val="both"/>
              <w:rPr>
                <w:rFonts w:ascii="Times New Roman" w:hAnsi="Times New Roman"/>
                <w:bCs/>
              </w:rPr>
            </w:pPr>
          </w:p>
        </w:tc>
        <w:tc>
          <w:tcPr>
            <w:tcW w:w="920" w:type="dxa"/>
            <w:gridSpan w:val="2"/>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45,4</w:t>
            </w:r>
          </w:p>
          <w:p w:rsidR="00B446D0" w:rsidRPr="0022374B" w:rsidRDefault="00B446D0" w:rsidP="0022374B">
            <w:pPr>
              <w:spacing w:before="120"/>
              <w:jc w:val="both"/>
              <w:rPr>
                <w:rFonts w:ascii="Times New Roman" w:hAnsi="Times New Roman"/>
                <w:bCs/>
              </w:rPr>
            </w:pPr>
          </w:p>
        </w:tc>
        <w:tc>
          <w:tcPr>
            <w:tcW w:w="919" w:type="dxa"/>
            <w:vAlign w:val="center"/>
          </w:tcPr>
          <w:p w:rsidR="00B446D0" w:rsidRPr="0022374B" w:rsidRDefault="00B446D0" w:rsidP="0022374B">
            <w:pPr>
              <w:spacing w:before="120"/>
              <w:jc w:val="both"/>
              <w:rPr>
                <w:rFonts w:ascii="Times New Roman" w:hAnsi="Times New Roman"/>
                <w:bCs/>
              </w:rPr>
            </w:pPr>
            <w:r w:rsidRPr="0022374B">
              <w:rPr>
                <w:rFonts w:ascii="Times New Roman" w:hAnsi="Times New Roman"/>
                <w:bCs/>
              </w:rPr>
              <w:t>83,3</w:t>
            </w:r>
          </w:p>
        </w:tc>
        <w:tc>
          <w:tcPr>
            <w:tcW w:w="788" w:type="dxa"/>
            <w:vAlign w:val="center"/>
          </w:tcPr>
          <w:p w:rsidR="00B446D0" w:rsidRPr="0022374B" w:rsidRDefault="00B446D0" w:rsidP="0022374B">
            <w:pPr>
              <w:widowControl w:val="0"/>
              <w:spacing w:before="120"/>
              <w:jc w:val="both"/>
              <w:rPr>
                <w:rFonts w:ascii="Times New Roman" w:hAnsi="Times New Roman"/>
                <w:bCs/>
              </w:rPr>
            </w:pPr>
            <w:r w:rsidRPr="0022374B">
              <w:rPr>
                <w:rFonts w:ascii="Times New Roman" w:hAnsi="Times New Roman"/>
                <w:bCs/>
              </w:rPr>
              <w:t>5388</w:t>
            </w:r>
          </w:p>
        </w:tc>
      </w:tr>
      <w:tr w:rsidR="00B446D0" w:rsidRPr="0022374B" w:rsidTr="00CD18E4">
        <w:trPr>
          <w:trHeight w:val="214"/>
        </w:trPr>
        <w:tc>
          <w:tcPr>
            <w:tcW w:w="9726" w:type="dxa"/>
            <w:gridSpan w:val="1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Département</w:t>
            </w:r>
          </w:p>
        </w:tc>
      </w:tr>
      <w:tr w:rsidR="00B446D0" w:rsidRPr="0022374B" w:rsidTr="00CD18E4">
        <w:trPr>
          <w:trHeight w:val="428"/>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Alibori</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46,5</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82,1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30</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30,2</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84,4</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86</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36,1</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86,6</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381</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Atacora</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65,4</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92,2</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34</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54,8</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90,5</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126</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59,4</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93,5</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466</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Atlantique</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44,0</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73,4</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43</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44,1</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86,1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160</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44,2</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84,9</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793</w:t>
            </w:r>
          </w:p>
        </w:tc>
      </w:tr>
      <w:tr w:rsidR="00B446D0" w:rsidRPr="0022374B" w:rsidTr="00CD18E4">
        <w:trPr>
          <w:trHeight w:val="428"/>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Borgou</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45,6</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82,4</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73</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40,7</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86,1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155</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51,4</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84,2</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616</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Collines</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26,4</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79,6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32,8</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83,1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77</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29,8</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83,1</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387</w:t>
            </w:r>
          </w:p>
        </w:tc>
      </w:tr>
      <w:tr w:rsidR="00B446D0" w:rsidRPr="0022374B" w:rsidTr="00CD18E4">
        <w:trPr>
          <w:trHeight w:val="428"/>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Couffo</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25,4</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82,6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21</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28,7</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70,7</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103</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35,4</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77,6</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497</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Donga</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51,7</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62,0</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20</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42,6</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67,1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78</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47,8</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70,4</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276</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Littoral</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31,5</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64,3</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42,4</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73,8</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67</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45,4</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75,5</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301</w:t>
            </w:r>
          </w:p>
        </w:tc>
      </w:tr>
      <w:tr w:rsidR="00B446D0" w:rsidRPr="0022374B" w:rsidTr="00CD18E4">
        <w:trPr>
          <w:trHeight w:val="428"/>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Mono</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22,6</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59,1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29,7</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82,1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77</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33,9</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77,8</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290</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Ouémé</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62,1</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89,3</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28</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50,3</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86,1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154</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56,9</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87,1</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614</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Plateau</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26,0</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76,7</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17,7</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71,6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81</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29,1</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79,8</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351</w:t>
            </w:r>
          </w:p>
        </w:tc>
      </w:tr>
      <w:tr w:rsidR="00B446D0" w:rsidRPr="0022374B" w:rsidTr="00CD18E4">
        <w:trPr>
          <w:trHeight w:val="428"/>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Zou</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21,1</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74,8</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32</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65,0</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82,9</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96</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60,5</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86,4</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416</w:t>
            </w:r>
          </w:p>
        </w:tc>
      </w:tr>
      <w:tr w:rsidR="00B446D0" w:rsidRPr="0022374B" w:rsidTr="00CD18E4">
        <w:trPr>
          <w:trHeight w:val="214"/>
        </w:trPr>
        <w:tc>
          <w:tcPr>
            <w:tcW w:w="9726" w:type="dxa"/>
            <w:gridSpan w:val="1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Milieu de résidence</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Urbain</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42,0</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74,6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138</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39,4</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79,6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547</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45,0</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81,5</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2 331</w:t>
            </w:r>
          </w:p>
        </w:tc>
      </w:tr>
      <w:tr w:rsidR="00B446D0" w:rsidRPr="0022374B" w:rsidTr="00CD18E4">
        <w:trPr>
          <w:trHeight w:val="442"/>
        </w:trPr>
        <w:tc>
          <w:tcPr>
            <w:tcW w:w="1526" w:type="dxa"/>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Rural</w:t>
            </w:r>
          </w:p>
        </w:tc>
        <w:tc>
          <w:tcPr>
            <w:tcW w:w="1014" w:type="dxa"/>
            <w:gridSpan w:val="3"/>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40,4</w:t>
            </w:r>
          </w:p>
        </w:tc>
        <w:tc>
          <w:tcPr>
            <w:tcW w:w="1013"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81,1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231</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43,0</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83,3</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712</w:t>
            </w:r>
          </w:p>
        </w:tc>
        <w:tc>
          <w:tcPr>
            <w:tcW w:w="920"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45,6</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84,6</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3 057</w:t>
            </w:r>
          </w:p>
        </w:tc>
      </w:tr>
      <w:tr w:rsidR="00B446D0" w:rsidRPr="0022374B" w:rsidTr="00CD18E4">
        <w:trPr>
          <w:trHeight w:val="455"/>
        </w:trPr>
        <w:tc>
          <w:tcPr>
            <w:tcW w:w="9726" w:type="dxa"/>
            <w:gridSpan w:val="1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Instruction de la mère</w:t>
            </w:r>
          </w:p>
        </w:tc>
      </w:tr>
      <w:tr w:rsidR="00B446D0" w:rsidRPr="0022374B" w:rsidTr="00CD18E4">
        <w:trPr>
          <w:trHeight w:val="428"/>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Aucune</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41,1</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79,1</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166</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48,2</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85,6</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624</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47,8</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85,4</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3 303</w:t>
            </w:r>
          </w:p>
        </w:tc>
      </w:tr>
      <w:tr w:rsidR="00B446D0" w:rsidRPr="0022374B" w:rsidTr="00CD18E4">
        <w:trPr>
          <w:trHeight w:val="442"/>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lastRenderedPageBreak/>
              <w:t>Primaire</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40,3</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72,8</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111</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36,5</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81,6</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331</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43,0</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82,4</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1 251</w:t>
            </w:r>
          </w:p>
        </w:tc>
      </w:tr>
      <w:tr w:rsidR="00B446D0" w:rsidRPr="0022374B" w:rsidTr="00CD18E4">
        <w:trPr>
          <w:trHeight w:val="428"/>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Second. 1</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40,8</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84,6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83</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33,0</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77,5</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245</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40,0</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79,2</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591</w:t>
            </w:r>
          </w:p>
        </w:tc>
      </w:tr>
      <w:tr w:rsidR="00B446D0" w:rsidRPr="0022374B" w:rsidTr="00CD18E4">
        <w:trPr>
          <w:trHeight w:val="442"/>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Sec. 2 ou +</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48,8</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87,3</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9</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32,7</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59,9</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60</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37,6</w:t>
            </w:r>
          </w:p>
        </w:tc>
        <w:tc>
          <w:tcPr>
            <w:tcW w:w="919" w:type="dxa"/>
            <w:vAlign w:val="center"/>
          </w:tcPr>
          <w:p w:rsidR="00B446D0" w:rsidRPr="0022374B" w:rsidRDefault="00B446D0" w:rsidP="0022374B">
            <w:pPr>
              <w:spacing w:before="120"/>
              <w:jc w:val="both"/>
              <w:rPr>
                <w:rFonts w:ascii="Times New Roman" w:hAnsi="Times New Roman"/>
              </w:rPr>
            </w:pPr>
            <w:r w:rsidRPr="0022374B">
              <w:rPr>
                <w:rFonts w:ascii="Times New Roman" w:hAnsi="Times New Roman"/>
              </w:rPr>
              <w:t>68,4</w:t>
            </w:r>
          </w:p>
        </w:tc>
        <w:tc>
          <w:tcPr>
            <w:tcW w:w="788" w:type="dxa"/>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rPr>
              <w:t>242</w:t>
            </w:r>
          </w:p>
        </w:tc>
      </w:tr>
      <w:tr w:rsidR="00B446D0" w:rsidRPr="0022374B" w:rsidTr="00CD18E4">
        <w:trPr>
          <w:trHeight w:val="214"/>
        </w:trPr>
        <w:tc>
          <w:tcPr>
            <w:tcW w:w="9726" w:type="dxa"/>
            <w:gridSpan w:val="13"/>
            <w:vAlign w:val="center"/>
          </w:tcPr>
          <w:p w:rsidR="00B446D0" w:rsidRPr="0022374B" w:rsidRDefault="00B446D0" w:rsidP="0022374B">
            <w:pPr>
              <w:widowControl w:val="0"/>
              <w:spacing w:before="120"/>
              <w:jc w:val="both"/>
              <w:rPr>
                <w:rFonts w:ascii="Times New Roman" w:hAnsi="Times New Roman"/>
              </w:rPr>
            </w:pPr>
            <w:r w:rsidRPr="0022374B">
              <w:rPr>
                <w:rFonts w:ascii="Times New Roman" w:hAnsi="Times New Roman"/>
                <w:bCs/>
              </w:rPr>
              <w:t>Indice de bien-être économique</w:t>
            </w:r>
          </w:p>
        </w:tc>
      </w:tr>
      <w:tr w:rsidR="00B446D0" w:rsidRPr="0022374B" w:rsidTr="00CD18E4">
        <w:trPr>
          <w:trHeight w:val="442"/>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Le plus pauvre</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53,1</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84,9</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83</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42,0</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88,5</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233</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46,4</w:t>
            </w:r>
          </w:p>
        </w:tc>
        <w:tc>
          <w:tcPr>
            <w:tcW w:w="919" w:type="dxa"/>
          </w:tcPr>
          <w:p w:rsidR="00B446D0" w:rsidRPr="0022374B" w:rsidRDefault="00B446D0" w:rsidP="0022374B">
            <w:pPr>
              <w:spacing w:before="120"/>
              <w:jc w:val="both"/>
              <w:rPr>
                <w:rFonts w:ascii="Times New Roman" w:hAnsi="Times New Roman"/>
              </w:rPr>
            </w:pPr>
            <w:r w:rsidRPr="0022374B">
              <w:rPr>
                <w:rFonts w:ascii="Times New Roman" w:hAnsi="Times New Roman"/>
              </w:rPr>
              <w:t>88,5</w:t>
            </w:r>
          </w:p>
        </w:tc>
        <w:tc>
          <w:tcPr>
            <w:tcW w:w="788" w:type="dxa"/>
          </w:tcPr>
          <w:p w:rsidR="00B446D0" w:rsidRPr="0022374B" w:rsidRDefault="00B446D0" w:rsidP="0022374B">
            <w:pPr>
              <w:spacing w:before="120"/>
              <w:jc w:val="both"/>
              <w:rPr>
                <w:rFonts w:ascii="Times New Roman" w:hAnsi="Times New Roman"/>
              </w:rPr>
            </w:pPr>
            <w:r w:rsidRPr="0022374B">
              <w:rPr>
                <w:rFonts w:ascii="Times New Roman" w:hAnsi="Times New Roman"/>
              </w:rPr>
              <w:t>1 095</w:t>
            </w:r>
          </w:p>
        </w:tc>
      </w:tr>
      <w:tr w:rsidR="00B446D0" w:rsidRPr="0022374B" w:rsidTr="00CD18E4">
        <w:trPr>
          <w:trHeight w:val="428"/>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Second</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37,3</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80,3</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79</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40,5</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82,7</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277</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43,3</w:t>
            </w:r>
          </w:p>
        </w:tc>
        <w:tc>
          <w:tcPr>
            <w:tcW w:w="919" w:type="dxa"/>
          </w:tcPr>
          <w:p w:rsidR="00B446D0" w:rsidRPr="0022374B" w:rsidRDefault="00B446D0" w:rsidP="0022374B">
            <w:pPr>
              <w:spacing w:before="120"/>
              <w:jc w:val="both"/>
              <w:rPr>
                <w:rFonts w:ascii="Times New Roman" w:hAnsi="Times New Roman"/>
              </w:rPr>
            </w:pPr>
            <w:r w:rsidRPr="0022374B">
              <w:rPr>
                <w:rFonts w:ascii="Times New Roman" w:hAnsi="Times New Roman"/>
              </w:rPr>
              <w:t>82,9</w:t>
            </w:r>
          </w:p>
        </w:tc>
        <w:tc>
          <w:tcPr>
            <w:tcW w:w="788" w:type="dxa"/>
          </w:tcPr>
          <w:p w:rsidR="00B446D0" w:rsidRPr="0022374B" w:rsidRDefault="00B446D0" w:rsidP="0022374B">
            <w:pPr>
              <w:spacing w:before="120"/>
              <w:jc w:val="both"/>
              <w:rPr>
                <w:rFonts w:ascii="Times New Roman" w:hAnsi="Times New Roman"/>
              </w:rPr>
            </w:pPr>
            <w:r w:rsidRPr="0022374B">
              <w:rPr>
                <w:rFonts w:ascii="Times New Roman" w:hAnsi="Times New Roman"/>
              </w:rPr>
              <w:t>1 127</w:t>
            </w:r>
          </w:p>
        </w:tc>
      </w:tr>
      <w:tr w:rsidR="00B446D0" w:rsidRPr="0022374B" w:rsidTr="00CD18E4">
        <w:trPr>
          <w:trHeight w:val="442"/>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Moyen</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29,2</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80,3</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88</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36,7</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80,6</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269</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44,3</w:t>
            </w:r>
          </w:p>
        </w:tc>
        <w:tc>
          <w:tcPr>
            <w:tcW w:w="919" w:type="dxa"/>
          </w:tcPr>
          <w:p w:rsidR="00B446D0" w:rsidRPr="0022374B" w:rsidRDefault="00B446D0" w:rsidP="0022374B">
            <w:pPr>
              <w:spacing w:before="120"/>
              <w:jc w:val="both"/>
              <w:rPr>
                <w:rFonts w:ascii="Times New Roman" w:hAnsi="Times New Roman"/>
              </w:rPr>
            </w:pPr>
            <w:r w:rsidRPr="0022374B">
              <w:rPr>
                <w:rFonts w:ascii="Times New Roman" w:hAnsi="Times New Roman"/>
              </w:rPr>
              <w:t>85,4</w:t>
            </w:r>
          </w:p>
        </w:tc>
        <w:tc>
          <w:tcPr>
            <w:tcW w:w="788" w:type="dxa"/>
          </w:tcPr>
          <w:p w:rsidR="00B446D0" w:rsidRPr="0022374B" w:rsidRDefault="00B446D0" w:rsidP="0022374B">
            <w:pPr>
              <w:spacing w:before="120"/>
              <w:jc w:val="both"/>
              <w:rPr>
                <w:rFonts w:ascii="Times New Roman" w:hAnsi="Times New Roman"/>
              </w:rPr>
            </w:pPr>
            <w:r w:rsidRPr="0022374B">
              <w:rPr>
                <w:rFonts w:ascii="Times New Roman" w:hAnsi="Times New Roman"/>
              </w:rPr>
              <w:t>1 095</w:t>
            </w:r>
          </w:p>
        </w:tc>
      </w:tr>
      <w:tr w:rsidR="00B446D0" w:rsidRPr="0022374B" w:rsidTr="00CD18E4">
        <w:trPr>
          <w:trHeight w:val="442"/>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Quatrième</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35,6</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67,6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75</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40,2</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76,0</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270</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45,7</w:t>
            </w:r>
          </w:p>
        </w:tc>
        <w:tc>
          <w:tcPr>
            <w:tcW w:w="919" w:type="dxa"/>
          </w:tcPr>
          <w:p w:rsidR="00B446D0" w:rsidRPr="0022374B" w:rsidRDefault="00B446D0" w:rsidP="0022374B">
            <w:pPr>
              <w:spacing w:before="120"/>
              <w:jc w:val="both"/>
              <w:rPr>
                <w:rFonts w:ascii="Times New Roman" w:hAnsi="Times New Roman"/>
              </w:rPr>
            </w:pPr>
            <w:r w:rsidRPr="0022374B">
              <w:rPr>
                <w:rFonts w:ascii="Times New Roman" w:hAnsi="Times New Roman"/>
              </w:rPr>
              <w:t>80,4</w:t>
            </w:r>
          </w:p>
        </w:tc>
        <w:tc>
          <w:tcPr>
            <w:tcW w:w="788" w:type="dxa"/>
          </w:tcPr>
          <w:p w:rsidR="00B446D0" w:rsidRPr="0022374B" w:rsidRDefault="00B446D0" w:rsidP="0022374B">
            <w:pPr>
              <w:spacing w:before="120"/>
              <w:jc w:val="both"/>
              <w:rPr>
                <w:rFonts w:ascii="Times New Roman" w:hAnsi="Times New Roman"/>
              </w:rPr>
            </w:pPr>
            <w:r w:rsidRPr="0022374B">
              <w:rPr>
                <w:rFonts w:ascii="Times New Roman" w:hAnsi="Times New Roman"/>
              </w:rPr>
              <w:t>1 133</w:t>
            </w:r>
          </w:p>
        </w:tc>
      </w:tr>
      <w:tr w:rsidR="00B446D0" w:rsidRPr="0022374B" w:rsidTr="00CD18E4">
        <w:trPr>
          <w:trHeight w:val="442"/>
        </w:trPr>
        <w:tc>
          <w:tcPr>
            <w:tcW w:w="1633" w:type="dxa"/>
            <w:gridSpan w:val="2"/>
            <w:vAlign w:val="center"/>
          </w:tcPr>
          <w:p w:rsidR="00B446D0" w:rsidRPr="0022374B" w:rsidRDefault="00B446D0" w:rsidP="0022374B">
            <w:pPr>
              <w:widowControl w:val="0"/>
              <w:spacing w:before="120"/>
              <w:ind w:firstLineChars="100" w:firstLine="200"/>
              <w:jc w:val="both"/>
              <w:rPr>
                <w:rFonts w:ascii="Times New Roman" w:hAnsi="Times New Roman"/>
              </w:rPr>
            </w:pPr>
            <w:r w:rsidRPr="0022374B">
              <w:rPr>
                <w:rFonts w:ascii="Times New Roman" w:hAnsi="Times New Roman"/>
              </w:rPr>
              <w:t>Le plus riche</w:t>
            </w:r>
          </w:p>
        </w:tc>
        <w:tc>
          <w:tcPr>
            <w:tcW w:w="86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57,8</w:t>
            </w:r>
          </w:p>
        </w:tc>
        <w:tc>
          <w:tcPr>
            <w:tcW w:w="1051" w:type="dxa"/>
            <w:gridSpan w:val="2"/>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79,6</w:t>
            </w:r>
          </w:p>
        </w:tc>
        <w:tc>
          <w:tcPr>
            <w:tcW w:w="788" w:type="dxa"/>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44</w:t>
            </w:r>
          </w:p>
        </w:tc>
        <w:tc>
          <w:tcPr>
            <w:tcW w:w="1051"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49,6</w:t>
            </w:r>
          </w:p>
        </w:tc>
        <w:tc>
          <w:tcPr>
            <w:tcW w:w="919"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81,7</w:t>
            </w:r>
          </w:p>
        </w:tc>
        <w:tc>
          <w:tcPr>
            <w:tcW w:w="796" w:type="dxa"/>
            <w:gridSpan w:val="2"/>
            <w:vAlign w:val="center"/>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210</w:t>
            </w:r>
          </w:p>
        </w:tc>
        <w:tc>
          <w:tcPr>
            <w:tcW w:w="912" w:type="dxa"/>
            <w:vAlign w:val="bottom"/>
          </w:tcPr>
          <w:p w:rsidR="00B446D0" w:rsidRPr="0022374B" w:rsidRDefault="00B446D0" w:rsidP="0022374B">
            <w:pPr>
              <w:spacing w:before="120"/>
              <w:jc w:val="both"/>
              <w:rPr>
                <w:rFonts w:ascii="Times New Roman" w:hAnsi="Times New Roman"/>
                <w:color w:val="000000"/>
              </w:rPr>
            </w:pPr>
            <w:r w:rsidRPr="0022374B">
              <w:rPr>
                <w:rFonts w:ascii="Times New Roman" w:hAnsi="Times New Roman"/>
                <w:color w:val="000000"/>
              </w:rPr>
              <w:t>47,5</w:t>
            </w:r>
          </w:p>
        </w:tc>
        <w:tc>
          <w:tcPr>
            <w:tcW w:w="919" w:type="dxa"/>
          </w:tcPr>
          <w:p w:rsidR="00B446D0" w:rsidRPr="0022374B" w:rsidRDefault="00B446D0" w:rsidP="0022374B">
            <w:pPr>
              <w:spacing w:before="120"/>
              <w:jc w:val="both"/>
              <w:rPr>
                <w:rFonts w:ascii="Times New Roman" w:hAnsi="Times New Roman"/>
              </w:rPr>
            </w:pPr>
            <w:r w:rsidRPr="0022374B">
              <w:rPr>
                <w:rFonts w:ascii="Times New Roman" w:hAnsi="Times New Roman"/>
              </w:rPr>
              <w:t>78,5</w:t>
            </w:r>
          </w:p>
        </w:tc>
        <w:tc>
          <w:tcPr>
            <w:tcW w:w="788" w:type="dxa"/>
          </w:tcPr>
          <w:p w:rsidR="00B446D0" w:rsidRPr="0022374B" w:rsidRDefault="00B446D0" w:rsidP="0022374B">
            <w:pPr>
              <w:spacing w:before="120"/>
              <w:jc w:val="both"/>
              <w:rPr>
                <w:rFonts w:ascii="Times New Roman" w:hAnsi="Times New Roman"/>
              </w:rPr>
            </w:pPr>
            <w:r w:rsidRPr="0022374B">
              <w:rPr>
                <w:rFonts w:ascii="Times New Roman" w:hAnsi="Times New Roman"/>
              </w:rPr>
              <w:t>938</w:t>
            </w:r>
          </w:p>
        </w:tc>
      </w:tr>
    </w:tbl>
    <w:p w:rsidR="00B446D0" w:rsidRPr="0022374B" w:rsidRDefault="00B446D0" w:rsidP="0022374B">
      <w:pPr>
        <w:spacing w:before="120"/>
        <w:jc w:val="both"/>
        <w:rPr>
          <w:rFonts w:ascii="Times New Roman" w:hAnsi="Times New Roman"/>
          <w:lang w:eastAsia="en-GB"/>
        </w:rPr>
      </w:pPr>
    </w:p>
    <w:p w:rsidR="00B446D0" w:rsidRPr="0022374B" w:rsidRDefault="00B446D0" w:rsidP="0022374B">
      <w:pPr>
        <w:spacing w:before="120"/>
        <w:jc w:val="both"/>
        <w:rPr>
          <w:rFonts w:ascii="Times New Roman" w:hAnsi="Times New Roman"/>
          <w:b/>
          <w:spacing w:val="30"/>
        </w:rPr>
      </w:pPr>
      <w:r w:rsidRPr="0022374B">
        <w:rPr>
          <w:rFonts w:ascii="Times New Roman" w:hAnsi="Times New Roman"/>
          <w:b/>
          <w:spacing w:val="30"/>
        </w:rPr>
        <w:t>Graphique</w:t>
      </w:r>
      <w:r w:rsidRPr="0022374B">
        <w:rPr>
          <w:rFonts w:ascii="Times New Roman" w:hAnsi="Times New Roman"/>
          <w:lang w:eastAsia="zh-TW"/>
        </w:rPr>
        <w:t> </w:t>
      </w:r>
      <w:r w:rsidRPr="0022374B">
        <w:rPr>
          <w:rFonts w:ascii="Times New Roman" w:hAnsi="Times New Roman"/>
          <w:b/>
          <w:spacing w:val="30"/>
        </w:rPr>
        <w:t>NU.3 : Initiation à l’allaitement (ensemble des femmes)</w:t>
      </w:r>
    </w:p>
    <w:p w:rsidR="00B446D0" w:rsidRPr="0022374B" w:rsidRDefault="00B446D0" w:rsidP="0022374B">
      <w:pPr>
        <w:spacing w:before="120"/>
        <w:jc w:val="both"/>
        <w:rPr>
          <w:rFonts w:ascii="Times New Roman" w:hAnsi="Times New Roman"/>
        </w:rPr>
      </w:pPr>
      <w:r w:rsidRPr="0022374B">
        <w:rPr>
          <w:rFonts w:ascii="Times New Roman" w:hAnsi="Times New Roman"/>
          <w:noProof/>
        </w:rPr>
        <w:drawing>
          <wp:inline distT="0" distB="0" distL="0" distR="0">
            <wp:extent cx="4476750" cy="2990850"/>
            <wp:effectExtent l="0" t="0" r="0" b="0"/>
            <wp:docPr id="1" name="Graphiqu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que 4"/>
                    <pic:cNvPicPr>
                      <a:picLocks noChangeArrowheads="1"/>
                    </pic:cNvPicPr>
                  </pic:nvPicPr>
                  <pic:blipFill>
                    <a:blip r:embed="rId8" cstate="print"/>
                    <a:srcRect l="-1591" t="-3423" r="-1831" b="-4123"/>
                    <a:stretch>
                      <a:fillRect/>
                    </a:stretch>
                  </pic:blipFill>
                  <pic:spPr bwMode="auto">
                    <a:xfrm>
                      <a:off x="0" y="0"/>
                      <a:ext cx="4476750" cy="2990850"/>
                    </a:xfrm>
                    <a:prstGeom prst="rect">
                      <a:avLst/>
                    </a:prstGeom>
                    <a:noFill/>
                    <a:ln w="9525">
                      <a:noFill/>
                      <a:miter lim="800000"/>
                      <a:headEnd/>
                      <a:tailEnd/>
                    </a:ln>
                  </pic:spPr>
                </pic:pic>
              </a:graphicData>
            </a:graphic>
          </wp:inline>
        </w:drawing>
      </w:r>
    </w:p>
    <w:p w:rsidR="00B446D0" w:rsidRPr="0022374B" w:rsidRDefault="00B446D0" w:rsidP="0022374B">
      <w:pPr>
        <w:spacing w:before="120"/>
        <w:jc w:val="both"/>
        <w:rPr>
          <w:rFonts w:ascii="Times New Roman" w:hAnsi="Times New Roman"/>
        </w:rPr>
      </w:pPr>
    </w:p>
    <w:p w:rsidR="00B446D0" w:rsidRPr="0022374B" w:rsidRDefault="00B446D0" w:rsidP="0022374B">
      <w:pPr>
        <w:spacing w:before="120"/>
        <w:jc w:val="both"/>
        <w:rPr>
          <w:rFonts w:ascii="Times New Roman" w:hAnsi="Times New Roman"/>
          <w:b/>
        </w:rPr>
      </w:pPr>
    </w:p>
    <w:p w:rsidR="00B446D0" w:rsidRPr="0022374B" w:rsidRDefault="00B446D0" w:rsidP="0022374B">
      <w:pPr>
        <w:spacing w:before="120"/>
        <w:jc w:val="both"/>
        <w:rPr>
          <w:rFonts w:ascii="Times New Roman" w:hAnsi="Times New Roman"/>
        </w:rPr>
      </w:pPr>
      <w:r w:rsidRPr="0022374B">
        <w:rPr>
          <w:rFonts w:ascii="Times New Roman" w:hAnsi="Times New Roman"/>
        </w:rPr>
        <w:t>Une hypothèse mérite d’être testée. Sociologiquement et culturellement, les femmes rurales, qui sont le plus souvent analphabètes et pauvres pourraient  être celles qui spontanément donnent le sein à  leur enfant dans l’heure qui suit la naissance, plus que les autres en raison même de l’accouchement médicalisé. En effet la mise au sein immédiate n’était pas une priorité du personnel obstétrical, alors que les risques d’hémorragie liés à  l’expulsion du placenta et la nécessité de procéder à la résection du périnée sont une priorité absolue. Les données, on va le voir, ne confirment que partiellement cette hypothèse, et ceci quel que soit le groupe de femmes.</w:t>
      </w:r>
    </w:p>
    <w:p w:rsidR="00B446D0" w:rsidRPr="0022374B" w:rsidRDefault="00B446D0" w:rsidP="0022374B">
      <w:pPr>
        <w:spacing w:before="120"/>
        <w:jc w:val="both"/>
        <w:rPr>
          <w:rFonts w:ascii="Times New Roman" w:hAnsi="Times New Roman"/>
        </w:rPr>
      </w:pPr>
      <w:r w:rsidRPr="0022374B">
        <w:rPr>
          <w:rFonts w:ascii="Times New Roman" w:hAnsi="Times New Roman"/>
        </w:rPr>
        <w:t xml:space="preserve">  </w:t>
      </w:r>
    </w:p>
    <w:p w:rsidR="00B446D0" w:rsidRPr="0022374B" w:rsidRDefault="00B446D0" w:rsidP="0022374B">
      <w:pPr>
        <w:spacing w:before="120"/>
        <w:jc w:val="both"/>
        <w:rPr>
          <w:rFonts w:ascii="Times New Roman" w:hAnsi="Times New Roman"/>
          <w:b/>
        </w:rPr>
      </w:pPr>
    </w:p>
    <w:p w:rsidR="00B446D0" w:rsidRPr="0022374B" w:rsidRDefault="00B446D0" w:rsidP="0022374B">
      <w:pPr>
        <w:spacing w:before="120"/>
        <w:jc w:val="both"/>
        <w:rPr>
          <w:rFonts w:ascii="Times New Roman" w:hAnsi="Times New Roman"/>
          <w:b/>
        </w:rPr>
      </w:pPr>
      <w:r w:rsidRPr="0022374B">
        <w:rPr>
          <w:rFonts w:ascii="Times New Roman" w:hAnsi="Times New Roman"/>
          <w:b/>
        </w:rPr>
        <w:t>Ensemble des mères</w:t>
      </w:r>
    </w:p>
    <w:p w:rsidR="00B446D0" w:rsidRPr="0022374B" w:rsidRDefault="00B446D0" w:rsidP="0022374B">
      <w:pPr>
        <w:spacing w:before="120"/>
        <w:jc w:val="both"/>
        <w:rPr>
          <w:rFonts w:ascii="Times New Roman" w:hAnsi="Times New Roman"/>
        </w:rPr>
      </w:pPr>
      <w:r w:rsidRPr="0022374B">
        <w:rPr>
          <w:rFonts w:ascii="Times New Roman" w:hAnsi="Times New Roman"/>
        </w:rPr>
        <w:t>Alors que dans la quasi-totalité des cas (97 %), les enfants ont été allaités au sein et que 83 pour cent commencent l’allaitement dans la journée de naissance, seulement 45,4  pour cent le font dans l'heure suivant la naissance (tableau</w:t>
      </w:r>
      <w:r w:rsidRPr="0022374B">
        <w:rPr>
          <w:rFonts w:ascii="Times New Roman" w:hAnsi="Times New Roman"/>
          <w:lang w:eastAsia="zh-TW"/>
        </w:rPr>
        <w:t> </w:t>
      </w:r>
      <w:r w:rsidRPr="0022374B">
        <w:rPr>
          <w:rFonts w:ascii="Times New Roman" w:hAnsi="Times New Roman"/>
        </w:rPr>
        <w:t>NU.3).</w:t>
      </w:r>
    </w:p>
    <w:p w:rsidR="00B446D0" w:rsidRPr="0022374B" w:rsidRDefault="00B446D0" w:rsidP="0022374B">
      <w:pPr>
        <w:spacing w:before="120"/>
        <w:jc w:val="both"/>
        <w:rPr>
          <w:rFonts w:ascii="Times New Roman" w:hAnsi="Times New Roman"/>
        </w:rPr>
      </w:pPr>
      <w:r w:rsidRPr="0022374B">
        <w:rPr>
          <w:rFonts w:ascii="Times New Roman" w:hAnsi="Times New Roman"/>
        </w:rPr>
        <w:lastRenderedPageBreak/>
        <w:t xml:space="preserve">Ce pourcentage est plus élevé dans les départements du Zou (60,5 %), de l’Atacora (59,4 %), de l’Ouémé (56,9  %) et du Borgou (51,4  %), plus faible dans le Plateau (29,1  %) et les Collines (29,8 %). Les femmes analphabètes   et celles de niveau sont plus nombreuses à allaiter dans l’heure (47,8 % et 43,0 %) que toutes les autres qui plafonnent à 40 %. </w:t>
      </w:r>
    </w:p>
    <w:p w:rsidR="00B446D0" w:rsidRPr="0022374B" w:rsidRDefault="00B446D0" w:rsidP="0022374B">
      <w:pPr>
        <w:spacing w:before="120"/>
        <w:jc w:val="both"/>
        <w:rPr>
          <w:rFonts w:ascii="Times New Roman" w:hAnsi="Times New Roman"/>
        </w:rPr>
      </w:pPr>
      <w:r w:rsidRPr="0022374B">
        <w:rPr>
          <w:rFonts w:ascii="Times New Roman" w:hAnsi="Times New Roman"/>
        </w:rPr>
        <w:t>Il ne se dessine pas de tendance nette selon le niveau de bien-être.</w:t>
      </w:r>
    </w:p>
    <w:p w:rsidR="00B446D0" w:rsidRPr="0022374B" w:rsidRDefault="00B446D0" w:rsidP="0022374B">
      <w:pPr>
        <w:spacing w:before="120"/>
        <w:jc w:val="both"/>
        <w:rPr>
          <w:rFonts w:ascii="Times New Roman" w:hAnsi="Times New Roman"/>
          <w:b/>
        </w:rPr>
      </w:pPr>
    </w:p>
    <w:p w:rsidR="00B446D0" w:rsidRPr="0022374B" w:rsidRDefault="00B446D0" w:rsidP="0022374B">
      <w:pPr>
        <w:spacing w:before="120"/>
        <w:jc w:val="both"/>
        <w:rPr>
          <w:rFonts w:ascii="Times New Roman" w:hAnsi="Times New Roman"/>
          <w:b/>
        </w:rPr>
      </w:pPr>
      <w:r w:rsidRPr="0022374B">
        <w:rPr>
          <w:rFonts w:ascii="Times New Roman" w:hAnsi="Times New Roman"/>
          <w:b/>
        </w:rPr>
        <w:t>Mères adolescentes et Jeunes mères adultes</w:t>
      </w:r>
    </w:p>
    <w:p w:rsidR="00B446D0" w:rsidRPr="0022374B" w:rsidRDefault="00B446D0" w:rsidP="0022374B">
      <w:pPr>
        <w:spacing w:before="120"/>
        <w:jc w:val="both"/>
        <w:rPr>
          <w:rFonts w:ascii="Times New Roman" w:hAnsi="Times New Roman"/>
        </w:rPr>
      </w:pPr>
      <w:r w:rsidRPr="0022374B">
        <w:rPr>
          <w:rFonts w:ascii="Times New Roman" w:hAnsi="Times New Roman"/>
        </w:rPr>
        <w:t xml:space="preserve">Les mères adolescentes et les Jeunes mères adultes ne se distinguent que partiellement de l’ensemble des mères. D’une part, les départements sont souvent  les mêmes : Atacora, Ouémé et Zou sont ceux où cette pratique est la plus  fréquente. Et pour les trois groupes de femmes le fait de vivre en milieu urbain ou rural n’influe pas sur cette pratique. </w:t>
      </w:r>
    </w:p>
    <w:p w:rsidR="00B446D0" w:rsidRPr="0022374B" w:rsidRDefault="00B446D0" w:rsidP="0022374B">
      <w:pPr>
        <w:spacing w:before="120"/>
        <w:jc w:val="both"/>
        <w:rPr>
          <w:rFonts w:ascii="Times New Roman" w:hAnsi="Times New Roman"/>
        </w:rPr>
      </w:pPr>
      <w:r w:rsidRPr="0022374B">
        <w:rPr>
          <w:rFonts w:ascii="Times New Roman" w:hAnsi="Times New Roman"/>
        </w:rPr>
        <w:t xml:space="preserve"> En revanche pour le milieu d’instruction les analphabètes, Jeunes mères adultes ou celles de l’ensemble des mères pratiquent également (48,2 et 47,8 %) l’allaitement dans l’heure, mais le niveau d’instruction ne joue pas pour les adolescentes.</w:t>
      </w:r>
    </w:p>
    <w:p w:rsidR="00B446D0" w:rsidRPr="0022374B" w:rsidRDefault="00B446D0" w:rsidP="0022374B">
      <w:pPr>
        <w:spacing w:before="120"/>
        <w:jc w:val="both"/>
        <w:rPr>
          <w:rFonts w:ascii="Times New Roman" w:hAnsi="Times New Roman"/>
        </w:rPr>
      </w:pPr>
      <w:r w:rsidRPr="0022374B">
        <w:rPr>
          <w:rFonts w:ascii="Times New Roman" w:hAnsi="Times New Roman"/>
        </w:rPr>
        <w:t xml:space="preserve">Pour les quintiles de bien-être aucune tendance nette ne se dégage.  </w:t>
      </w:r>
    </w:p>
    <w:p w:rsidR="00B446D0" w:rsidRPr="0022374B" w:rsidRDefault="00B446D0" w:rsidP="0022374B">
      <w:pPr>
        <w:spacing w:before="120"/>
        <w:jc w:val="both"/>
        <w:rPr>
          <w:rFonts w:ascii="Times New Roman" w:hAnsi="Times New Roman"/>
          <w:b/>
        </w:rPr>
      </w:pPr>
    </w:p>
    <w:p w:rsidR="00940B84" w:rsidRDefault="00940B84">
      <w:pPr>
        <w:spacing w:after="200" w:line="276" w:lineRule="auto"/>
        <w:rPr>
          <w:rFonts w:ascii="Times New Roman" w:hAnsi="Times New Roman"/>
          <w:b/>
          <w:sz w:val="24"/>
          <w:szCs w:val="24"/>
        </w:rPr>
      </w:pPr>
      <w:r>
        <w:rPr>
          <w:rFonts w:ascii="Times New Roman" w:hAnsi="Times New Roman"/>
          <w:b/>
          <w:sz w:val="24"/>
          <w:szCs w:val="24"/>
        </w:rPr>
        <w:br w:type="page"/>
      </w:r>
    </w:p>
    <w:p w:rsidR="00B446D0" w:rsidRPr="00940B84" w:rsidRDefault="00940B84" w:rsidP="00940B84">
      <w:pPr>
        <w:widowControl w:val="0"/>
        <w:pBdr>
          <w:top w:val="single" w:sz="4" w:space="1" w:color="auto"/>
          <w:left w:val="single" w:sz="4" w:space="4" w:color="auto"/>
          <w:bottom w:val="single" w:sz="4" w:space="1" w:color="auto"/>
          <w:right w:val="single" w:sz="4" w:space="4" w:color="auto"/>
        </w:pBdr>
        <w:spacing w:before="120"/>
        <w:ind w:left="360"/>
        <w:jc w:val="both"/>
        <w:rPr>
          <w:rFonts w:ascii="Times New Roman" w:hAnsi="Times New Roman"/>
          <w:b/>
          <w:sz w:val="24"/>
          <w:szCs w:val="24"/>
        </w:rPr>
      </w:pPr>
      <w:r>
        <w:rPr>
          <w:rFonts w:ascii="Times New Roman" w:hAnsi="Times New Roman"/>
          <w:b/>
          <w:sz w:val="24"/>
          <w:szCs w:val="24"/>
        </w:rPr>
        <w:lastRenderedPageBreak/>
        <w:t>4.</w:t>
      </w:r>
      <w:r w:rsidR="00B446D0" w:rsidRPr="00940B84">
        <w:rPr>
          <w:rFonts w:ascii="Times New Roman" w:hAnsi="Times New Roman"/>
          <w:b/>
          <w:sz w:val="24"/>
          <w:szCs w:val="24"/>
        </w:rPr>
        <w:t xml:space="preserve">. SYNTHESE ET RECOMMANDATIONS PROGRAMMATIQUES </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b/>
          <w:bCs/>
        </w:rPr>
      </w:pPr>
      <w:r w:rsidRPr="0022374B">
        <w:rPr>
          <w:rFonts w:ascii="Times New Roman" w:hAnsi="Times New Roman"/>
          <w:sz w:val="24"/>
          <w:szCs w:val="24"/>
        </w:rPr>
        <w:t>Le même constat que celui établi pour le sous-thème 2.1 peut être fait. Les adolescentes ne se distinguent pas fondamentalement ni des jeunes adultes ni de l’ensemble des femmes, mais l’analyse approfondie des données révèle une réalité assez complexe.</w:t>
      </w:r>
      <w:r w:rsidRPr="0022374B">
        <w:rPr>
          <w:rFonts w:ascii="Times New Roman" w:hAnsi="Times New Roman"/>
          <w:b/>
          <w:bCs/>
        </w:rPr>
        <w:t xml:space="preserve"> </w:t>
      </w:r>
    </w:p>
    <w:p w:rsidR="00B446D0" w:rsidRPr="0022374B" w:rsidRDefault="00B446D0" w:rsidP="0022374B">
      <w:pPr>
        <w:widowControl w:val="0"/>
        <w:spacing w:before="120"/>
        <w:jc w:val="both"/>
        <w:rPr>
          <w:rFonts w:ascii="Times New Roman" w:hAnsi="Times New Roman"/>
          <w:sz w:val="24"/>
          <w:szCs w:val="24"/>
        </w:rPr>
      </w:pPr>
    </w:p>
    <w:p w:rsidR="00B446D0" w:rsidRDefault="00B446D0" w:rsidP="00940B84">
      <w:pPr>
        <w:widowControl w:val="0"/>
        <w:spacing w:before="120"/>
        <w:jc w:val="center"/>
        <w:rPr>
          <w:rFonts w:ascii="Times New Roman" w:hAnsi="Times New Roman"/>
          <w:b/>
          <w:sz w:val="24"/>
          <w:szCs w:val="24"/>
        </w:rPr>
      </w:pPr>
      <w:r w:rsidRPr="0022374B">
        <w:rPr>
          <w:rFonts w:ascii="Times New Roman" w:hAnsi="Times New Roman"/>
          <w:b/>
          <w:sz w:val="24"/>
          <w:szCs w:val="24"/>
        </w:rPr>
        <w:t>Tableau de synthèse 1. Spécificité des adolescentes par rapport aux Jeunes adultes et à l’Ensemble des femmes</w:t>
      </w:r>
    </w:p>
    <w:p w:rsidR="00940B84" w:rsidRPr="0022374B" w:rsidRDefault="00940B84" w:rsidP="00940B84">
      <w:pPr>
        <w:widowControl w:val="0"/>
        <w:spacing w:before="12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02"/>
        <w:gridCol w:w="2205"/>
        <w:gridCol w:w="2205"/>
      </w:tblGrid>
      <w:tr w:rsidR="00B446D0" w:rsidRPr="0022374B" w:rsidTr="00CD18E4">
        <w:trPr>
          <w:trHeight w:val="956"/>
        </w:trPr>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Facteur de vulnérabilité ou de réduction de risque</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Adolescentes</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Jeunes adultes</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Ensemble des femmes</w:t>
            </w: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bCs/>
              </w:rPr>
              <w:t>Tableau NU.1: Pourcentage d’enfants pesant moins de 2500 grammes à la naissance</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Atacora, Atlantique</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Plateau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Zou, Collines </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Urbain</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Pas de différence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Urbain</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Dimension socioculturelle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spacing w:before="120"/>
              <w:jc w:val="both"/>
              <w:rPr>
                <w:rFonts w:ascii="Times New Roman" w:hAnsi="Times New Roman"/>
              </w:rPr>
            </w:pPr>
            <w:r w:rsidRPr="0022374B">
              <w:rPr>
                <w:rFonts w:ascii="Times New Roman" w:hAnsi="Times New Roman"/>
                <w:sz w:val="24"/>
                <w:szCs w:val="24"/>
              </w:rPr>
              <w:t>Secondaire  2 ou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spacing w:before="120"/>
              <w:jc w:val="both"/>
              <w:rPr>
                <w:rFonts w:ascii="Times New Roman" w:hAnsi="Times New Roman"/>
              </w:rPr>
            </w:pPr>
            <w:r w:rsidRPr="0022374B">
              <w:rPr>
                <w:rFonts w:ascii="Times New Roman" w:hAnsi="Times New Roman"/>
                <w:sz w:val="24"/>
                <w:szCs w:val="24"/>
              </w:rPr>
              <w:t>Secondaire  2 ou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Secondaire  2 ou +</w:t>
            </w:r>
          </w:p>
        </w:tc>
      </w:tr>
      <w:tr w:rsidR="00B446D0" w:rsidRPr="0022374B" w:rsidTr="00CD18E4">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Dimension socioéconomique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10 % les plus pauvres et 10 % les plus riches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Quatrième le plus riche </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Pas de différence</w:t>
            </w:r>
          </w:p>
        </w:tc>
      </w:tr>
      <w:tr w:rsidR="00B446D0" w:rsidRPr="0022374B" w:rsidTr="00CD18E4">
        <w:tc>
          <w:tcPr>
            <w:tcW w:w="921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rPr>
              <w:t>Tableau NU.3 : Allaitement précoce et exclusif (enfant non mis au sein dans l’heure)</w:t>
            </w:r>
          </w:p>
        </w:tc>
      </w:tr>
      <w:tr w:rsidR="00B446D0" w:rsidRPr="0022374B" w:rsidTr="00CD18E4">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Atacora, Ouémé</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 Collines, Couffo, Mono</w:t>
            </w:r>
          </w:p>
        </w:tc>
      </w:tr>
      <w:tr w:rsidR="00B446D0" w:rsidRPr="0022374B" w:rsidTr="00CD18E4">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Urbain</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Rural</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Pas de différence</w:t>
            </w:r>
          </w:p>
        </w:tc>
      </w:tr>
      <w:tr w:rsidR="00B446D0" w:rsidRPr="0022374B" w:rsidTr="00CD18E4">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Dimension socioculturelle </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Pas de différence</w:t>
            </w:r>
          </w:p>
        </w:tc>
        <w:tc>
          <w:tcPr>
            <w:tcW w:w="2303" w:type="dxa"/>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Analphabètes  </w:t>
            </w:r>
          </w:p>
        </w:tc>
        <w:tc>
          <w:tcPr>
            <w:tcW w:w="2303" w:type="dxa"/>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Analphabètes  </w:t>
            </w:r>
          </w:p>
        </w:tc>
      </w:tr>
      <w:tr w:rsidR="00B446D0" w:rsidRPr="0022374B" w:rsidTr="00CD18E4">
        <w:trPr>
          <w:trHeight w:val="1030"/>
        </w:trPr>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Dimension socioéconomique </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10 % les plus pauvres et 10 % les plus riches</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10 % les plus pauvres et 10 % les plus riches</w:t>
            </w:r>
          </w:p>
        </w:tc>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10 % les plus riches </w:t>
            </w:r>
          </w:p>
        </w:tc>
      </w:tr>
      <w:tr w:rsidR="00B446D0" w:rsidRPr="0022374B" w:rsidTr="00CD18E4">
        <w:tc>
          <w:tcPr>
            <w:tcW w:w="2303" w:type="dxa"/>
            <w:shd w:val="clear" w:color="auto" w:fill="FFFFFF"/>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p>
        </w:tc>
        <w:tc>
          <w:tcPr>
            <w:tcW w:w="2303" w:type="dxa"/>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p>
        </w:tc>
        <w:tc>
          <w:tcPr>
            <w:tcW w:w="2303" w:type="dxa"/>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p>
        </w:tc>
        <w:tc>
          <w:tcPr>
            <w:tcW w:w="2303" w:type="dxa"/>
            <w:shd w:val="clear" w:color="auto" w:fill="FFFFFF"/>
            <w:hideMark/>
          </w:tcPr>
          <w:p w:rsidR="00B446D0" w:rsidRPr="0022374B" w:rsidRDefault="00B446D0" w:rsidP="0022374B">
            <w:pPr>
              <w:tabs>
                <w:tab w:val="center" w:pos="4536"/>
                <w:tab w:val="right" w:pos="9072"/>
              </w:tabs>
              <w:spacing w:before="120"/>
              <w:jc w:val="both"/>
              <w:rPr>
                <w:rFonts w:ascii="Times New Roman" w:hAnsi="Times New Roman"/>
                <w:sz w:val="24"/>
                <w:szCs w:val="24"/>
              </w:rPr>
            </w:pPr>
          </w:p>
        </w:tc>
      </w:tr>
    </w:tbl>
    <w:p w:rsidR="00B446D0" w:rsidRPr="0022374B" w:rsidRDefault="00B446D0" w:rsidP="0022374B">
      <w:pPr>
        <w:widowControl w:val="0"/>
        <w:spacing w:before="120"/>
        <w:jc w:val="both"/>
        <w:rPr>
          <w:rFonts w:ascii="Times New Roman" w:hAnsi="Times New Roman"/>
          <w:sz w:val="24"/>
          <w:szCs w:val="24"/>
        </w:rPr>
      </w:pPr>
    </w:p>
    <w:p w:rsidR="00B446D0" w:rsidRDefault="00B446D0" w:rsidP="00940B84">
      <w:pPr>
        <w:widowControl w:val="0"/>
        <w:spacing w:before="120"/>
        <w:jc w:val="center"/>
        <w:rPr>
          <w:rFonts w:ascii="Times New Roman" w:hAnsi="Times New Roman"/>
          <w:b/>
          <w:sz w:val="24"/>
          <w:szCs w:val="24"/>
        </w:rPr>
      </w:pPr>
      <w:r w:rsidRPr="0022374B">
        <w:rPr>
          <w:rFonts w:ascii="Times New Roman" w:hAnsi="Times New Roman"/>
          <w:b/>
          <w:sz w:val="24"/>
          <w:szCs w:val="24"/>
        </w:rPr>
        <w:t>Tableau de synthèse 2 : Profils de vulnérabilité des adolescentes</w:t>
      </w:r>
    </w:p>
    <w:p w:rsidR="00940B84" w:rsidRPr="0022374B" w:rsidRDefault="00940B84" w:rsidP="00940B84">
      <w:pPr>
        <w:widowControl w:val="0"/>
        <w:spacing w:before="12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486"/>
        <w:gridCol w:w="1535"/>
        <w:gridCol w:w="1751"/>
        <w:gridCol w:w="1847"/>
      </w:tblGrid>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Comportement </w:t>
            </w:r>
          </w:p>
        </w:tc>
        <w:tc>
          <w:tcPr>
            <w:tcW w:w="149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Département de résidence </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Milieu de résidence </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Socio-culturel</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Economique</w:t>
            </w:r>
          </w:p>
        </w:tc>
      </w:tr>
      <w:tr w:rsidR="00B446D0" w:rsidRPr="0022374B" w:rsidTr="00CD18E4">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bCs/>
                <w:sz w:val="24"/>
                <w:szCs w:val="24"/>
              </w:rPr>
            </w:pPr>
            <w:r w:rsidRPr="0022374B">
              <w:rPr>
                <w:rFonts w:ascii="Times New Roman" w:hAnsi="Times New Roman"/>
                <w:bCs/>
                <w:sz w:val="24"/>
                <w:szCs w:val="24"/>
              </w:rPr>
              <w:t xml:space="preserve">Poids insuffisant à la  naissance </w:t>
            </w:r>
          </w:p>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bCs/>
                <w:sz w:val="24"/>
                <w:szCs w:val="24"/>
              </w:rPr>
              <w:t>(Tableau NU.1)</w:t>
            </w:r>
          </w:p>
        </w:tc>
        <w:tc>
          <w:tcPr>
            <w:tcW w:w="149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 xml:space="preserve">Atacora, Atlantique </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Urbain</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Secondaire  2 ou +</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10 % les plus pauvres et 10 % les plus riches</w:t>
            </w:r>
          </w:p>
        </w:tc>
      </w:tr>
      <w:tr w:rsidR="00B446D0" w:rsidRPr="0022374B" w:rsidTr="00CD18E4">
        <w:trPr>
          <w:trHeight w:val="924"/>
        </w:trPr>
        <w:tc>
          <w:tcPr>
            <w:tcW w:w="237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rPr>
            </w:pPr>
            <w:r w:rsidRPr="0022374B">
              <w:rPr>
                <w:rFonts w:ascii="Times New Roman" w:hAnsi="Times New Roman"/>
              </w:rPr>
              <w:lastRenderedPageBreak/>
              <w:t>Allaitement précoce et exclusif</w:t>
            </w:r>
          </w:p>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rPr>
              <w:t>(</w:t>
            </w:r>
            <w:r w:rsidRPr="0022374B">
              <w:rPr>
                <w:rFonts w:ascii="Times New Roman" w:hAnsi="Times New Roman"/>
                <w:sz w:val="24"/>
                <w:szCs w:val="24"/>
              </w:rPr>
              <w:t>Tableau NU.3)</w:t>
            </w:r>
          </w:p>
        </w:tc>
        <w:tc>
          <w:tcPr>
            <w:tcW w:w="1493"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Atacora, Ouémé</w:t>
            </w:r>
          </w:p>
        </w:tc>
        <w:tc>
          <w:tcPr>
            <w:tcW w:w="1626"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Urbain</w:t>
            </w:r>
          </w:p>
        </w:tc>
        <w:tc>
          <w:tcPr>
            <w:tcW w:w="1854"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Pas de différence</w:t>
            </w:r>
          </w:p>
        </w:tc>
        <w:tc>
          <w:tcPr>
            <w:tcW w:w="1939" w:type="dxa"/>
            <w:tcBorders>
              <w:top w:val="single" w:sz="4" w:space="0" w:color="auto"/>
              <w:left w:val="single" w:sz="4" w:space="0" w:color="auto"/>
              <w:bottom w:val="single" w:sz="4" w:space="0" w:color="auto"/>
              <w:right w:val="single" w:sz="4" w:space="0" w:color="auto"/>
            </w:tcBorders>
            <w:hideMark/>
          </w:tcPr>
          <w:p w:rsidR="00B446D0" w:rsidRPr="0022374B" w:rsidRDefault="00B446D0" w:rsidP="0022374B">
            <w:pPr>
              <w:widowControl w:val="0"/>
              <w:tabs>
                <w:tab w:val="center" w:pos="4536"/>
                <w:tab w:val="right" w:pos="9072"/>
              </w:tabs>
              <w:spacing w:before="120"/>
              <w:jc w:val="both"/>
              <w:rPr>
                <w:rFonts w:ascii="Times New Roman" w:hAnsi="Times New Roman"/>
                <w:sz w:val="24"/>
                <w:szCs w:val="24"/>
              </w:rPr>
            </w:pPr>
            <w:r w:rsidRPr="0022374B">
              <w:rPr>
                <w:rFonts w:ascii="Times New Roman" w:hAnsi="Times New Roman"/>
                <w:sz w:val="24"/>
                <w:szCs w:val="24"/>
              </w:rPr>
              <w:t>10 % les plus pauvres et 10 % les plus riches</w:t>
            </w:r>
          </w:p>
        </w:tc>
      </w:tr>
    </w:tbl>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 Contrairement aux autres sous-thèmes, il ne se dessine pas de profils de vulnérabilité bien nets.</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RECOMMANDATIONS</w:t>
      </w:r>
    </w:p>
    <w:p w:rsidR="00B446D0" w:rsidRPr="0022374B" w:rsidRDefault="00B446D0" w:rsidP="0022374B">
      <w:pPr>
        <w:widowControl w:val="0"/>
        <w:spacing w:before="120"/>
        <w:jc w:val="both"/>
        <w:rPr>
          <w:rFonts w:ascii="Times New Roman" w:hAnsi="Times New Roman"/>
          <w:b/>
          <w:sz w:val="24"/>
          <w:szCs w:val="24"/>
        </w:rPr>
      </w:pPr>
      <w:r w:rsidRPr="0022374B">
        <w:rPr>
          <w:rFonts w:ascii="Times New Roman" w:hAnsi="Times New Roman"/>
          <w:b/>
          <w:sz w:val="24"/>
          <w:szCs w:val="24"/>
        </w:rPr>
        <w:t>(</w:t>
      </w:r>
      <w:r w:rsidRPr="0022374B">
        <w:rPr>
          <w:rFonts w:ascii="Times New Roman" w:hAnsi="Times New Roman"/>
          <w:b/>
          <w:sz w:val="24"/>
          <w:szCs w:val="24"/>
          <w:highlight w:val="yellow"/>
        </w:rPr>
        <w:t>Souraya et Narcisse : compléter svp)</w:t>
      </w: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1/ Rechercher si les causes du faible poids à la naissance parmi les femmes les plus instruites  et les urbaines résulte d’un artefact lié à la qualité des données. Si oui, veiller à ce que  la prochaine enquête corrige ce problème. </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2/ Si non, procéder à une enquête auprès du personnel médical pour identifier les cause de  ce problème.</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3/ Renforcer la promotion de l’allaitement précoce et exclusif, dans l’ensemble de la population.</w:t>
      </w:r>
    </w:p>
    <w:p w:rsidR="00B446D0" w:rsidRPr="0022374B" w:rsidRDefault="00B446D0" w:rsidP="0022374B">
      <w:pPr>
        <w:widowControl w:val="0"/>
        <w:spacing w:before="120"/>
        <w:jc w:val="both"/>
        <w:rPr>
          <w:rFonts w:ascii="Times New Roman" w:hAnsi="Times New Roman"/>
          <w:sz w:val="24"/>
          <w:szCs w:val="24"/>
        </w:rPr>
      </w:pPr>
      <w:r w:rsidRPr="0022374B">
        <w:rPr>
          <w:rFonts w:ascii="Times New Roman" w:hAnsi="Times New Roman"/>
          <w:sz w:val="24"/>
          <w:szCs w:val="24"/>
        </w:rPr>
        <w:t xml:space="preserve">4/ Sensibiliser le personnel obstétrical à l’importance de l’allaitement précoce et exclusif lors auprès des parturientes </w:t>
      </w:r>
    </w:p>
    <w:p w:rsidR="00B446D0" w:rsidRPr="0022374B" w:rsidRDefault="00B446D0" w:rsidP="0022374B">
      <w:pPr>
        <w:tabs>
          <w:tab w:val="left" w:pos="2662"/>
        </w:tabs>
        <w:spacing w:before="120"/>
        <w:jc w:val="both"/>
        <w:rPr>
          <w:rFonts w:ascii="Times New Roman" w:hAnsi="Times New Roman"/>
        </w:rPr>
      </w:pPr>
    </w:p>
    <w:p w:rsidR="00A2515F" w:rsidRPr="0022374B" w:rsidRDefault="00A2515F" w:rsidP="0022374B">
      <w:pPr>
        <w:spacing w:before="120"/>
        <w:jc w:val="both"/>
        <w:rPr>
          <w:rFonts w:ascii="Times New Roman" w:hAnsi="Times New Roman"/>
        </w:rPr>
      </w:pPr>
    </w:p>
    <w:sectPr w:rsidR="00A2515F" w:rsidRPr="0022374B" w:rsidSect="008870D4">
      <w:footerReference w:type="default" r:id="rId9"/>
      <w:pgSz w:w="11906" w:h="16838"/>
      <w:pgMar w:top="1417" w:right="1841"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5D7" w:rsidRDefault="00CB15D7" w:rsidP="00B446D0">
      <w:r>
        <w:separator/>
      </w:r>
    </w:p>
  </w:endnote>
  <w:endnote w:type="continuationSeparator" w:id="0">
    <w:p w:rsidR="00CB15D7" w:rsidRDefault="00CB15D7" w:rsidP="00B4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963594"/>
      <w:docPartObj>
        <w:docPartGallery w:val="Page Numbers (Bottom of Page)"/>
        <w:docPartUnique/>
      </w:docPartObj>
    </w:sdtPr>
    <w:sdtEndPr/>
    <w:sdtContent>
      <w:p w:rsidR="00CD18E4" w:rsidRDefault="00CB15D7">
        <w:pPr>
          <w:pStyle w:val="Pieddepage"/>
          <w:jc w:val="center"/>
        </w:pPr>
        <w:r>
          <w:fldChar w:fldCharType="begin"/>
        </w:r>
        <w:r>
          <w:instrText xml:space="preserve"> PAGE   \* MERGEFORMAT </w:instrText>
        </w:r>
        <w:r>
          <w:fldChar w:fldCharType="separate"/>
        </w:r>
        <w:r w:rsidR="003965DB">
          <w:rPr>
            <w:noProof/>
          </w:rPr>
          <w:t>1</w:t>
        </w:r>
        <w:r>
          <w:rPr>
            <w:noProof/>
          </w:rPr>
          <w:fldChar w:fldCharType="end"/>
        </w:r>
      </w:p>
    </w:sdtContent>
  </w:sdt>
  <w:p w:rsidR="00CD18E4" w:rsidRDefault="00CD18E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5D7" w:rsidRDefault="00CB15D7" w:rsidP="00B446D0">
      <w:r>
        <w:separator/>
      </w:r>
    </w:p>
  </w:footnote>
  <w:footnote w:type="continuationSeparator" w:id="0">
    <w:p w:rsidR="00CB15D7" w:rsidRDefault="00CB15D7" w:rsidP="00B446D0">
      <w:r>
        <w:continuationSeparator/>
      </w:r>
    </w:p>
  </w:footnote>
  <w:footnote w:id="1">
    <w:p w:rsidR="00CD18E4" w:rsidRPr="00822CBD" w:rsidRDefault="00CD18E4" w:rsidP="00B446D0">
      <w:pPr>
        <w:pStyle w:val="Notedebasdepage"/>
      </w:pPr>
      <w:r w:rsidRPr="00822CBD">
        <w:rPr>
          <w:rStyle w:val="Appelnotedebasdep"/>
        </w:rPr>
        <w:footnoteRef/>
      </w:r>
      <w:r w:rsidRPr="00822CBD">
        <w:t xml:space="preserve"> Toutes les références au mariage incluent également les unions. </w:t>
      </w:r>
    </w:p>
  </w:footnote>
  <w:footnote w:id="2">
    <w:p w:rsidR="00CD18E4" w:rsidRPr="00822CBD" w:rsidRDefault="00CD18E4" w:rsidP="00B446D0">
      <w:pPr>
        <w:pStyle w:val="Notedebasdepage"/>
        <w:rPr>
          <w:lang w:val="en-GB"/>
        </w:rPr>
      </w:pPr>
      <w:r w:rsidRPr="00822CBD">
        <w:rPr>
          <w:rStyle w:val="Appelnotedebasdep"/>
        </w:rPr>
        <w:footnoteRef/>
      </w:r>
      <w:r w:rsidRPr="00822CBD">
        <w:rPr>
          <w:lang w:val="es-US"/>
        </w:rPr>
        <w:t xml:space="preserve">Bajracharya A ND, Amin S. 2010. </w:t>
      </w:r>
      <w:r w:rsidRPr="00822CBD">
        <w:rPr>
          <w:i/>
          <w:iCs/>
          <w:lang w:val="en-GB"/>
        </w:rPr>
        <w:t>Poverty, marriage timing, and transitions to adulthood in Nepal: A longitudinal analysis using the Nepal living standards survey.</w:t>
      </w:r>
      <w:r w:rsidRPr="00822CBD">
        <w:rPr>
          <w:lang w:val="en-GB"/>
        </w:rPr>
        <w:t xml:space="preserve"> Poverty, Gender, and Youth Working Paper n°</w:t>
      </w:r>
      <w:r w:rsidRPr="00822CBD">
        <w:rPr>
          <w:color w:val="000000"/>
          <w:lang w:val="en-US" w:eastAsia="zh-TW"/>
        </w:rPr>
        <w:t> </w:t>
      </w:r>
      <w:r w:rsidRPr="00822CBD">
        <w:rPr>
          <w:lang w:val="en-GB"/>
        </w:rPr>
        <w:t>19. Population Council.</w:t>
      </w:r>
    </w:p>
    <w:p w:rsidR="00CD18E4" w:rsidRPr="00822CBD" w:rsidRDefault="00CD18E4" w:rsidP="00B446D0">
      <w:pPr>
        <w:pStyle w:val="Notedebasdepage"/>
        <w:rPr>
          <w:lang w:val="en-GB"/>
        </w:rPr>
      </w:pPr>
      <w:r w:rsidRPr="00822CBD">
        <w:rPr>
          <w:lang w:val="en-GB"/>
        </w:rPr>
        <w:t xml:space="preserve">Godha D </w:t>
      </w:r>
      <w:r w:rsidRPr="00822CBD">
        <w:rPr>
          <w:i/>
          <w:iCs/>
          <w:lang w:val="en-GB"/>
        </w:rPr>
        <w:t>et al.</w:t>
      </w:r>
      <w:r w:rsidRPr="00822CBD">
        <w:rPr>
          <w:lang w:val="en-GB"/>
        </w:rPr>
        <w:t xml:space="preserve"> 2011. </w:t>
      </w:r>
      <w:r w:rsidRPr="00822CBD">
        <w:rPr>
          <w:i/>
          <w:lang w:val="en-GB"/>
        </w:rPr>
        <w:t xml:space="preserve">The influence of child marriage on fertility, fertility-control, and maternal health care utilization. </w:t>
      </w:r>
      <w:r w:rsidRPr="00822CBD">
        <w:rPr>
          <w:lang w:val="en-GB"/>
        </w:rPr>
        <w:t>EASURE/Evaluation PRH Project Working paper 11-124.Report</w:t>
      </w:r>
    </w:p>
  </w:footnote>
  <w:footnote w:id="3">
    <w:p w:rsidR="00CD18E4" w:rsidRPr="00781573" w:rsidRDefault="00CD18E4" w:rsidP="00B446D0">
      <w:pPr>
        <w:pStyle w:val="Notedebasdepage"/>
        <w:rPr>
          <w:lang w:val="en-GB"/>
        </w:rPr>
      </w:pPr>
      <w:r w:rsidRPr="00781573">
        <w:rPr>
          <w:rStyle w:val="Appelnotedebasdep"/>
        </w:rPr>
        <w:footnoteRef/>
      </w:r>
      <w:r w:rsidRPr="00781573">
        <w:rPr>
          <w:lang w:val="en-GB"/>
        </w:rPr>
        <w:t xml:space="preserve">Say L </w:t>
      </w:r>
      <w:r w:rsidRPr="00781573">
        <w:rPr>
          <w:i/>
          <w:iCs/>
          <w:lang w:val="en-GB"/>
        </w:rPr>
        <w:t>et al.</w:t>
      </w:r>
      <w:r w:rsidRPr="00781573">
        <w:rPr>
          <w:lang w:val="en-GB"/>
        </w:rPr>
        <w:t xml:space="preserve"> 2014. </w:t>
      </w:r>
      <w:r w:rsidRPr="00781573">
        <w:rPr>
          <w:rStyle w:val="boldit1"/>
          <w:b w:val="0"/>
          <w:iCs/>
          <w:lang w:val="en-GB"/>
        </w:rPr>
        <w:t>Global causes of maternal death: a WHO systematic analysis.</w:t>
      </w:r>
      <w:r w:rsidRPr="00781573">
        <w:rPr>
          <w:rStyle w:val="boldit1"/>
          <w:lang w:val="en-GB"/>
        </w:rPr>
        <w:t xml:space="preserve"> </w:t>
      </w:r>
      <w:r w:rsidRPr="00781573">
        <w:rPr>
          <w:rStyle w:val="italicizeit1"/>
          <w:rFonts w:eastAsia="Calibri"/>
          <w:iCs w:val="0"/>
          <w:lang w:val="en-GB"/>
        </w:rPr>
        <w:t>The Lancet Global Health,</w:t>
      </w:r>
      <w:r w:rsidRPr="00781573">
        <w:rPr>
          <w:rStyle w:val="italicizeit1"/>
          <w:rFonts w:eastAsia="Calibri"/>
          <w:i w:val="0"/>
          <w:lang w:val="en-GB"/>
        </w:rPr>
        <w:t xml:space="preserve"> </w:t>
      </w:r>
      <w:r w:rsidRPr="00781573">
        <w:rPr>
          <w:i/>
          <w:lang w:val="en-GB"/>
        </w:rPr>
        <w:t xml:space="preserve">2(6): </w:t>
      </w:r>
      <w:r w:rsidRPr="00781573">
        <w:rPr>
          <w:lang w:val="en-GB"/>
        </w:rPr>
        <w:t xml:space="preserve">e323-33. </w:t>
      </w:r>
    </w:p>
  </w:footnote>
  <w:footnote w:id="4">
    <w:p w:rsidR="00CD18E4" w:rsidRPr="00781573" w:rsidRDefault="00CD18E4" w:rsidP="00B446D0">
      <w:pPr>
        <w:pStyle w:val="Notedebasdepage"/>
        <w:rPr>
          <w:lang w:val="en-GB"/>
        </w:rPr>
      </w:pPr>
      <w:r w:rsidRPr="00781573">
        <w:rPr>
          <w:rStyle w:val="Appelnotedebasdep"/>
        </w:rPr>
        <w:footnoteRef/>
      </w:r>
      <w:r w:rsidRPr="00781573">
        <w:rPr>
          <w:lang w:val="en-GB"/>
        </w:rPr>
        <w:t>UN Interagency Group for Child Mortality Estimation, 2013. Levels and Trends in Child Mortality: Report 2013.</w:t>
      </w:r>
    </w:p>
  </w:footnote>
  <w:footnote w:id="5">
    <w:p w:rsidR="00CD18E4" w:rsidRPr="00781573" w:rsidRDefault="00CD18E4" w:rsidP="00B446D0">
      <w:pPr>
        <w:pStyle w:val="Notedebasdepage"/>
        <w:rPr>
          <w:lang w:val="en-GB"/>
        </w:rPr>
      </w:pPr>
      <w:r w:rsidRPr="00781573">
        <w:rPr>
          <w:rStyle w:val="Appelnotedebasdep"/>
        </w:rPr>
        <w:footnoteRef/>
      </w:r>
      <w:r w:rsidRPr="00781573">
        <w:rPr>
          <w:lang w:val="en-GB"/>
        </w:rPr>
        <w:t xml:space="preserve"> Lawn JE, Cousens S, Zupan J. </w:t>
      </w:r>
      <w:r w:rsidRPr="00781573">
        <w:rPr>
          <w:iCs/>
          <w:lang w:val="en-GB"/>
        </w:rPr>
        <w:t>4 million neonatal deaths: When? Where? Why?</w:t>
      </w:r>
      <w:r w:rsidRPr="00781573">
        <w:rPr>
          <w:lang w:val="en-GB"/>
        </w:rPr>
        <w:t xml:space="preserve"> </w:t>
      </w:r>
      <w:r w:rsidRPr="00781573">
        <w:rPr>
          <w:i/>
          <w:iCs/>
          <w:lang w:val="en-GB"/>
        </w:rPr>
        <w:t>Lancet,</w:t>
      </w:r>
      <w:r w:rsidRPr="00781573">
        <w:rPr>
          <w:lang w:val="en-GB"/>
        </w:rPr>
        <w:t xml:space="preserve"> 2005; 365:891–900.</w:t>
      </w:r>
    </w:p>
  </w:footnote>
  <w:footnote w:id="6">
    <w:p w:rsidR="00CD18E4" w:rsidRPr="00781573" w:rsidRDefault="00CD18E4" w:rsidP="00B446D0">
      <w:pPr>
        <w:pStyle w:val="Notedebasdepage"/>
        <w:rPr>
          <w:lang w:val="en-GB"/>
        </w:rPr>
      </w:pPr>
      <w:r w:rsidRPr="00781573">
        <w:rPr>
          <w:rStyle w:val="Appelnotedebasdep"/>
        </w:rPr>
        <w:footnoteRef/>
      </w:r>
      <w:r w:rsidRPr="00781573">
        <w:rPr>
          <w:lang w:val="en-GB"/>
        </w:rPr>
        <w:t xml:space="preserve"> WHO, UNICEF, UNFPA, The World Bank. </w:t>
      </w:r>
      <w:r w:rsidRPr="00781573">
        <w:rPr>
          <w:i/>
          <w:lang w:val="en-GB"/>
        </w:rPr>
        <w:t>Trends in Maternal Mortality</w:t>
      </w:r>
      <w:r w:rsidRPr="00781573">
        <w:rPr>
          <w:i/>
          <w:iCs/>
          <w:lang w:val="en-GB"/>
        </w:rPr>
        <w:t>: 1990-2010</w:t>
      </w:r>
      <w:r w:rsidRPr="00781573">
        <w:rPr>
          <w:lang w:val="en-GB"/>
        </w:rPr>
        <w:t xml:space="preserve">. World Health Organization 2012. </w:t>
      </w:r>
    </w:p>
  </w:footnote>
  <w:footnote w:id="7">
    <w:p w:rsidR="00CD18E4" w:rsidRPr="00781573" w:rsidRDefault="00CD18E4" w:rsidP="00B446D0">
      <w:pPr>
        <w:pStyle w:val="Notedebasdepage"/>
      </w:pPr>
      <w:r w:rsidRPr="00781573">
        <w:rPr>
          <w:rStyle w:val="Appelnotedebasdep"/>
        </w:rPr>
        <w:footnoteRef/>
      </w:r>
      <w:r w:rsidRPr="00781573">
        <w:rPr>
          <w:lang w:val="en-GB"/>
        </w:rPr>
        <w:t xml:space="preserve"> Countdown to 2015: </w:t>
      </w:r>
      <w:r w:rsidRPr="00781573">
        <w:rPr>
          <w:i/>
          <w:lang w:val="en-GB"/>
        </w:rPr>
        <w:t>Tracking Progress in Maternal, Newborn &amp; Child Survival,</w:t>
      </w:r>
      <w:r w:rsidRPr="00781573">
        <w:rPr>
          <w:lang w:val="en-GB"/>
        </w:rPr>
        <w:t xml:space="preserve">The 2008 Report. </w:t>
      </w:r>
      <w:r w:rsidRPr="00781573">
        <w:t xml:space="preserve">New York: UNICEF, 2008. </w:t>
      </w:r>
    </w:p>
  </w:footnote>
  <w:footnote w:id="8">
    <w:p w:rsidR="00CD18E4" w:rsidRPr="003C16A6" w:rsidRDefault="00CD18E4" w:rsidP="00B446D0">
      <w:pPr>
        <w:pStyle w:val="Notedebasdepage"/>
        <w:rPr>
          <w:iCs/>
          <w:sz w:val="18"/>
          <w:szCs w:val="18"/>
          <w:lang w:val="en-GB"/>
        </w:rPr>
      </w:pPr>
      <w:r w:rsidRPr="003C16A6">
        <w:rPr>
          <w:sz w:val="18"/>
          <w:szCs w:val="18"/>
          <w:vertAlign w:val="superscript"/>
        </w:rPr>
        <w:footnoteRef/>
      </w:r>
      <w:r w:rsidRPr="003C16A6">
        <w:rPr>
          <w:iCs/>
          <w:sz w:val="18"/>
          <w:szCs w:val="18"/>
          <w:lang w:val="en-GB"/>
        </w:rPr>
        <w:t>WHO (2003).</w:t>
      </w:r>
      <w:r w:rsidRPr="003C16A6">
        <w:rPr>
          <w:i/>
          <w:sz w:val="18"/>
          <w:szCs w:val="18"/>
          <w:lang w:val="en-GB"/>
        </w:rPr>
        <w:t xml:space="preserve"> Implementing the Global Strategy for Infant and Young Child Feeding. </w:t>
      </w:r>
      <w:r w:rsidRPr="003C16A6">
        <w:rPr>
          <w:iCs/>
          <w:sz w:val="18"/>
          <w:szCs w:val="18"/>
          <w:lang w:val="en-GB"/>
        </w:rPr>
        <w:t>Meeting Report Geneva, 3-5 February 2003.</w:t>
      </w:r>
    </w:p>
  </w:footnote>
  <w:footnote w:id="9">
    <w:p w:rsidR="00CD18E4" w:rsidRPr="003C16A6" w:rsidRDefault="00CD18E4" w:rsidP="00B446D0">
      <w:pPr>
        <w:pStyle w:val="Notedebasdepage"/>
        <w:rPr>
          <w:sz w:val="18"/>
          <w:szCs w:val="18"/>
          <w:lang w:val="en-GB"/>
        </w:rPr>
      </w:pPr>
      <w:r w:rsidRPr="003C16A6">
        <w:rPr>
          <w:sz w:val="18"/>
          <w:szCs w:val="18"/>
          <w:vertAlign w:val="superscript"/>
        </w:rPr>
        <w:footnoteRef/>
      </w:r>
      <w:r w:rsidRPr="003C16A6">
        <w:rPr>
          <w:iCs/>
          <w:sz w:val="18"/>
          <w:szCs w:val="18"/>
          <w:lang w:val="en-GB"/>
        </w:rPr>
        <w:t>PAHO (2003).</w:t>
      </w:r>
      <w:r w:rsidRPr="003C16A6">
        <w:rPr>
          <w:i/>
          <w:sz w:val="18"/>
          <w:szCs w:val="18"/>
          <w:lang w:val="en-GB"/>
        </w:rPr>
        <w:t xml:space="preserve"> Guiding principles for complementary feeding of the breastfed child.</w:t>
      </w:r>
    </w:p>
  </w:footnote>
  <w:footnote w:id="10">
    <w:p w:rsidR="00CD18E4" w:rsidRPr="003C16A6" w:rsidRDefault="00CD18E4" w:rsidP="00B446D0">
      <w:pPr>
        <w:pStyle w:val="Notedebasdepage"/>
        <w:rPr>
          <w:sz w:val="18"/>
          <w:szCs w:val="18"/>
          <w:lang w:val="en-GB"/>
        </w:rPr>
      </w:pPr>
      <w:r w:rsidRPr="003C16A6">
        <w:rPr>
          <w:sz w:val="18"/>
          <w:szCs w:val="18"/>
          <w:vertAlign w:val="superscript"/>
        </w:rPr>
        <w:footnoteRef/>
      </w:r>
      <w:r w:rsidRPr="003C16A6">
        <w:rPr>
          <w:iCs/>
          <w:sz w:val="18"/>
          <w:szCs w:val="18"/>
          <w:lang w:val="en-GB"/>
        </w:rPr>
        <w:t>WHO (2005).</w:t>
      </w:r>
      <w:r w:rsidRPr="003C16A6">
        <w:rPr>
          <w:i/>
          <w:sz w:val="18"/>
          <w:szCs w:val="18"/>
          <w:lang w:val="en-GB"/>
        </w:rPr>
        <w:t xml:space="preserve"> Guiding principles for feeding non-breastfed children 6-24 months of age.</w:t>
      </w:r>
    </w:p>
  </w:footnote>
  <w:footnote w:id="11">
    <w:p w:rsidR="00CD18E4" w:rsidRPr="003C16A6" w:rsidRDefault="00CD18E4" w:rsidP="00B446D0">
      <w:pPr>
        <w:pStyle w:val="Notedebasdepage"/>
        <w:rPr>
          <w:sz w:val="18"/>
          <w:szCs w:val="18"/>
          <w:lang w:val="en-GB"/>
        </w:rPr>
      </w:pPr>
      <w:r w:rsidRPr="003C16A6">
        <w:rPr>
          <w:rStyle w:val="Appelnotedebasdep"/>
          <w:sz w:val="18"/>
          <w:szCs w:val="18"/>
        </w:rPr>
        <w:footnoteRef/>
      </w:r>
      <w:r w:rsidRPr="003C16A6">
        <w:rPr>
          <w:iCs/>
          <w:sz w:val="18"/>
          <w:szCs w:val="18"/>
          <w:lang w:val="en-GB"/>
        </w:rPr>
        <w:t>WHO (2003).</w:t>
      </w:r>
      <w:r w:rsidRPr="003C16A6">
        <w:rPr>
          <w:i/>
          <w:sz w:val="18"/>
          <w:szCs w:val="18"/>
          <w:lang w:val="en-GB"/>
        </w:rPr>
        <w:t xml:space="preserve"> Global Strategy for Infant and Young Child Feeding.</w:t>
      </w:r>
    </w:p>
  </w:footnote>
  <w:footnote w:id="12">
    <w:p w:rsidR="00CD18E4" w:rsidRPr="003C16A6" w:rsidRDefault="00CD18E4" w:rsidP="00B446D0">
      <w:pPr>
        <w:pStyle w:val="Notedebasdepage"/>
        <w:rPr>
          <w:sz w:val="18"/>
          <w:szCs w:val="18"/>
          <w:lang w:val="en-GB"/>
        </w:rPr>
      </w:pPr>
      <w:r w:rsidRPr="003C16A6">
        <w:rPr>
          <w:rStyle w:val="Appelnotedebasdep"/>
          <w:sz w:val="18"/>
          <w:szCs w:val="18"/>
        </w:rPr>
        <w:footnoteRef/>
      </w:r>
      <w:r w:rsidRPr="003C16A6">
        <w:rPr>
          <w:sz w:val="18"/>
          <w:szCs w:val="18"/>
        </w:rPr>
        <w:t xml:space="preserve">Pour une description détaillée de la méthodologie, voir Boerma Tand All, 1996. </w:t>
      </w:r>
      <w:r w:rsidRPr="003C16A6">
        <w:rPr>
          <w:iCs/>
          <w:sz w:val="18"/>
          <w:szCs w:val="18"/>
          <w:lang w:val="en-GB"/>
        </w:rPr>
        <w:t>Data on Birth Weight in Developing Countries: Can Surveys Help?</w:t>
      </w:r>
      <w:r w:rsidRPr="003C16A6">
        <w:rPr>
          <w:i/>
          <w:sz w:val="18"/>
          <w:szCs w:val="18"/>
          <w:lang w:val="en-GB"/>
        </w:rPr>
        <w:t xml:space="preserve"> Bulletin of the World Health Organization, </w:t>
      </w:r>
      <w:r w:rsidRPr="003C16A6">
        <w:rPr>
          <w:iCs/>
          <w:sz w:val="18"/>
          <w:szCs w:val="18"/>
          <w:lang w:val="en-GB"/>
        </w:rPr>
        <w:t>74(2): 209-16.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A088E"/>
    <w:multiLevelType w:val="hybridMultilevel"/>
    <w:tmpl w:val="CCAC9BD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7697629"/>
    <w:multiLevelType w:val="hybridMultilevel"/>
    <w:tmpl w:val="8758C5B6"/>
    <w:lvl w:ilvl="0" w:tplc="0409001B">
      <w:start w:val="1"/>
      <w:numFmt w:val="lowerRoman"/>
      <w:lvlText w:val="%1."/>
      <w:lvlJc w:val="righ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 w15:restartNumberingAfterBreak="0">
    <w:nsid w:val="08A67212"/>
    <w:multiLevelType w:val="hybridMultilevel"/>
    <w:tmpl w:val="947E0EC0"/>
    <w:lvl w:ilvl="0" w:tplc="99B2C1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DC5C08"/>
    <w:multiLevelType w:val="hybridMultilevel"/>
    <w:tmpl w:val="B69E51B6"/>
    <w:lvl w:ilvl="0" w:tplc="E58CD89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341C9"/>
    <w:multiLevelType w:val="hybridMultilevel"/>
    <w:tmpl w:val="086C671C"/>
    <w:lvl w:ilvl="0" w:tplc="9572AC64">
      <w:start w:val="1"/>
      <w:numFmt w:val="bullet"/>
      <w:lvlText w:val=""/>
      <w:lvlJc w:val="left"/>
      <w:pPr>
        <w:tabs>
          <w:tab w:val="num" w:pos="648"/>
        </w:tabs>
        <w:ind w:left="64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87E9D"/>
    <w:multiLevelType w:val="hybridMultilevel"/>
    <w:tmpl w:val="1CE4A94A"/>
    <w:lvl w:ilvl="0" w:tplc="9572AC64">
      <w:start w:val="1"/>
      <w:numFmt w:val="bullet"/>
      <w:lvlText w:val=""/>
      <w:lvlJc w:val="left"/>
      <w:pPr>
        <w:tabs>
          <w:tab w:val="num" w:pos="648"/>
        </w:tabs>
        <w:ind w:left="64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366E2"/>
    <w:multiLevelType w:val="hybridMultilevel"/>
    <w:tmpl w:val="D4AEB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035215"/>
    <w:multiLevelType w:val="hybridMultilevel"/>
    <w:tmpl w:val="663A4F62"/>
    <w:lvl w:ilvl="0" w:tplc="9572AC64">
      <w:start w:val="1"/>
      <w:numFmt w:val="bullet"/>
      <w:lvlText w:val=""/>
      <w:lvlJc w:val="left"/>
      <w:pPr>
        <w:tabs>
          <w:tab w:val="num" w:pos="648"/>
        </w:tabs>
        <w:ind w:left="648" w:hanging="288"/>
      </w:pPr>
      <w:rPr>
        <w:rFonts w:ascii="Symbol" w:hAnsi="Symbol" w:hint="default"/>
      </w:rPr>
    </w:lvl>
    <w:lvl w:ilvl="1" w:tplc="FD9AB52A">
      <w:start w:val="1"/>
      <w:numFmt w:val="decimal"/>
      <w:lvlText w:val="%2."/>
      <w:lvlJc w:val="left"/>
      <w:pPr>
        <w:tabs>
          <w:tab w:val="num" w:pos="1440"/>
        </w:tabs>
        <w:ind w:left="1440" w:hanging="360"/>
      </w:pPr>
      <w:rPr>
        <w:rFonts w:cs="Times New Roman"/>
      </w:rPr>
    </w:lvl>
    <w:lvl w:ilvl="2" w:tplc="A1060EC8">
      <w:start w:val="1"/>
      <w:numFmt w:val="decimal"/>
      <w:lvlText w:val="%3."/>
      <w:lvlJc w:val="left"/>
      <w:pPr>
        <w:tabs>
          <w:tab w:val="num" w:pos="2160"/>
        </w:tabs>
        <w:ind w:left="2160" w:hanging="360"/>
      </w:pPr>
      <w:rPr>
        <w:rFonts w:cs="Times New Roman"/>
      </w:rPr>
    </w:lvl>
    <w:lvl w:ilvl="3" w:tplc="4B3A7C4C">
      <w:start w:val="1"/>
      <w:numFmt w:val="decimal"/>
      <w:lvlText w:val="%4."/>
      <w:lvlJc w:val="left"/>
      <w:pPr>
        <w:tabs>
          <w:tab w:val="num" w:pos="2880"/>
        </w:tabs>
        <w:ind w:left="2880" w:hanging="360"/>
      </w:pPr>
      <w:rPr>
        <w:rFonts w:cs="Times New Roman"/>
      </w:rPr>
    </w:lvl>
    <w:lvl w:ilvl="4" w:tplc="098A459A">
      <w:start w:val="1"/>
      <w:numFmt w:val="decimal"/>
      <w:lvlText w:val="%5."/>
      <w:lvlJc w:val="left"/>
      <w:pPr>
        <w:tabs>
          <w:tab w:val="num" w:pos="3600"/>
        </w:tabs>
        <w:ind w:left="3600" w:hanging="360"/>
      </w:pPr>
      <w:rPr>
        <w:rFonts w:cs="Times New Roman"/>
      </w:rPr>
    </w:lvl>
    <w:lvl w:ilvl="5" w:tplc="913E9B4C">
      <w:start w:val="1"/>
      <w:numFmt w:val="decimal"/>
      <w:lvlText w:val="%6."/>
      <w:lvlJc w:val="left"/>
      <w:pPr>
        <w:tabs>
          <w:tab w:val="num" w:pos="4320"/>
        </w:tabs>
        <w:ind w:left="4320" w:hanging="360"/>
      </w:pPr>
      <w:rPr>
        <w:rFonts w:cs="Times New Roman"/>
      </w:rPr>
    </w:lvl>
    <w:lvl w:ilvl="6" w:tplc="422C1134">
      <w:start w:val="1"/>
      <w:numFmt w:val="decimal"/>
      <w:lvlText w:val="%7."/>
      <w:lvlJc w:val="left"/>
      <w:pPr>
        <w:tabs>
          <w:tab w:val="num" w:pos="5040"/>
        </w:tabs>
        <w:ind w:left="5040" w:hanging="360"/>
      </w:pPr>
      <w:rPr>
        <w:rFonts w:cs="Times New Roman"/>
      </w:rPr>
    </w:lvl>
    <w:lvl w:ilvl="7" w:tplc="5BB0D494">
      <w:start w:val="1"/>
      <w:numFmt w:val="decimal"/>
      <w:lvlText w:val="%8."/>
      <w:lvlJc w:val="left"/>
      <w:pPr>
        <w:tabs>
          <w:tab w:val="num" w:pos="5760"/>
        </w:tabs>
        <w:ind w:left="5760" w:hanging="360"/>
      </w:pPr>
      <w:rPr>
        <w:rFonts w:cs="Times New Roman"/>
      </w:rPr>
    </w:lvl>
    <w:lvl w:ilvl="8" w:tplc="B07E882E">
      <w:start w:val="1"/>
      <w:numFmt w:val="decimal"/>
      <w:lvlText w:val="%9."/>
      <w:lvlJc w:val="left"/>
      <w:pPr>
        <w:tabs>
          <w:tab w:val="num" w:pos="6480"/>
        </w:tabs>
        <w:ind w:left="6480" w:hanging="360"/>
      </w:pPr>
      <w:rPr>
        <w:rFonts w:cs="Times New Roman"/>
      </w:rPr>
    </w:lvl>
  </w:abstractNum>
  <w:abstractNum w:abstractNumId="8" w15:restartNumberingAfterBreak="0">
    <w:nsid w:val="191D262D"/>
    <w:multiLevelType w:val="hybridMultilevel"/>
    <w:tmpl w:val="9E88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6A1F07"/>
    <w:multiLevelType w:val="hybridMultilevel"/>
    <w:tmpl w:val="4028B97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F8F597C"/>
    <w:multiLevelType w:val="hybridMultilevel"/>
    <w:tmpl w:val="8758C5B6"/>
    <w:lvl w:ilvl="0" w:tplc="0409001B">
      <w:start w:val="1"/>
      <w:numFmt w:val="lowerRoman"/>
      <w:lvlText w:val="%1."/>
      <w:lvlJc w:val="righ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 w15:restartNumberingAfterBreak="0">
    <w:nsid w:val="252C4092"/>
    <w:multiLevelType w:val="hybridMultilevel"/>
    <w:tmpl w:val="FC58887C"/>
    <w:lvl w:ilvl="0" w:tplc="C86C8E70">
      <w:start w:val="1"/>
      <w:numFmt w:val="lowerRoman"/>
      <w:lvlText w:val="(%1)"/>
      <w:lvlJc w:val="left"/>
      <w:pPr>
        <w:ind w:left="1080" w:hanging="72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FA5864"/>
    <w:multiLevelType w:val="multilevel"/>
    <w:tmpl w:val="80BC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BB2F90"/>
    <w:multiLevelType w:val="hybridMultilevel"/>
    <w:tmpl w:val="DFF208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2F17BC5"/>
    <w:multiLevelType w:val="hybridMultilevel"/>
    <w:tmpl w:val="0C5CA408"/>
    <w:lvl w:ilvl="0" w:tplc="040C0017">
      <w:start w:val="1"/>
      <w:numFmt w:val="lowerLetter"/>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5" w15:restartNumberingAfterBreak="0">
    <w:nsid w:val="330A357A"/>
    <w:multiLevelType w:val="hybridMultilevel"/>
    <w:tmpl w:val="AF5ABD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63F427F"/>
    <w:multiLevelType w:val="hybridMultilevel"/>
    <w:tmpl w:val="AB32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C36C8A"/>
    <w:multiLevelType w:val="hybridMultilevel"/>
    <w:tmpl w:val="6D58517A"/>
    <w:lvl w:ilvl="0" w:tplc="9572AC64">
      <w:start w:val="1"/>
      <w:numFmt w:val="bullet"/>
      <w:lvlText w:val=""/>
      <w:lvlJc w:val="left"/>
      <w:pPr>
        <w:tabs>
          <w:tab w:val="num" w:pos="648"/>
        </w:tabs>
        <w:ind w:left="64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F05B6"/>
    <w:multiLevelType w:val="hybridMultilevel"/>
    <w:tmpl w:val="23EEC148"/>
    <w:lvl w:ilvl="0" w:tplc="F450326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0D4BB9"/>
    <w:multiLevelType w:val="hybridMultilevel"/>
    <w:tmpl w:val="3C389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426038"/>
    <w:multiLevelType w:val="hybridMultilevel"/>
    <w:tmpl w:val="0AC21C68"/>
    <w:lvl w:ilvl="0" w:tplc="046C174A">
      <w:start w:val="1"/>
      <w:numFmt w:val="bullet"/>
      <w:lvlText w:val="•"/>
      <w:lvlJc w:val="left"/>
      <w:pPr>
        <w:tabs>
          <w:tab w:val="num" w:pos="720"/>
        </w:tabs>
        <w:ind w:left="720" w:hanging="360"/>
      </w:pPr>
      <w:rPr>
        <w:rFonts w:ascii="Verdana" w:hAnsi="Verdana" w:hint="default"/>
      </w:rPr>
    </w:lvl>
    <w:lvl w:ilvl="1" w:tplc="F4700C48">
      <w:start w:val="1"/>
      <w:numFmt w:val="bullet"/>
      <w:lvlText w:val="•"/>
      <w:lvlJc w:val="left"/>
      <w:pPr>
        <w:tabs>
          <w:tab w:val="num" w:pos="1440"/>
        </w:tabs>
        <w:ind w:left="1440" w:hanging="360"/>
      </w:pPr>
      <w:rPr>
        <w:rFonts w:ascii="Verdana" w:hAnsi="Verdana" w:hint="default"/>
      </w:rPr>
    </w:lvl>
    <w:lvl w:ilvl="2" w:tplc="81CC0882">
      <w:start w:val="1"/>
      <w:numFmt w:val="bullet"/>
      <w:lvlText w:val="•"/>
      <w:lvlJc w:val="left"/>
      <w:pPr>
        <w:tabs>
          <w:tab w:val="num" w:pos="2160"/>
        </w:tabs>
        <w:ind w:left="2160" w:hanging="360"/>
      </w:pPr>
      <w:rPr>
        <w:rFonts w:ascii="Verdana" w:hAnsi="Verdana" w:hint="default"/>
      </w:rPr>
    </w:lvl>
    <w:lvl w:ilvl="3" w:tplc="E3DCFE10">
      <w:start w:val="1"/>
      <w:numFmt w:val="bullet"/>
      <w:lvlText w:val="•"/>
      <w:lvlJc w:val="left"/>
      <w:pPr>
        <w:tabs>
          <w:tab w:val="num" w:pos="2880"/>
        </w:tabs>
        <w:ind w:left="2880" w:hanging="360"/>
      </w:pPr>
      <w:rPr>
        <w:rFonts w:ascii="Verdana" w:hAnsi="Verdana" w:hint="default"/>
      </w:rPr>
    </w:lvl>
    <w:lvl w:ilvl="4" w:tplc="4A9802F2">
      <w:start w:val="1"/>
      <w:numFmt w:val="bullet"/>
      <w:lvlText w:val="•"/>
      <w:lvlJc w:val="left"/>
      <w:pPr>
        <w:tabs>
          <w:tab w:val="num" w:pos="3600"/>
        </w:tabs>
        <w:ind w:left="3600" w:hanging="360"/>
      </w:pPr>
      <w:rPr>
        <w:rFonts w:ascii="Verdana" w:hAnsi="Verdana" w:hint="default"/>
      </w:rPr>
    </w:lvl>
    <w:lvl w:ilvl="5" w:tplc="69C0633C">
      <w:start w:val="1"/>
      <w:numFmt w:val="bullet"/>
      <w:lvlText w:val="•"/>
      <w:lvlJc w:val="left"/>
      <w:pPr>
        <w:tabs>
          <w:tab w:val="num" w:pos="4320"/>
        </w:tabs>
        <w:ind w:left="4320" w:hanging="360"/>
      </w:pPr>
      <w:rPr>
        <w:rFonts w:ascii="Verdana" w:hAnsi="Verdana" w:hint="default"/>
      </w:rPr>
    </w:lvl>
    <w:lvl w:ilvl="6" w:tplc="925C6D1C">
      <w:start w:val="1"/>
      <w:numFmt w:val="bullet"/>
      <w:lvlText w:val="•"/>
      <w:lvlJc w:val="left"/>
      <w:pPr>
        <w:tabs>
          <w:tab w:val="num" w:pos="5040"/>
        </w:tabs>
        <w:ind w:left="5040" w:hanging="360"/>
      </w:pPr>
      <w:rPr>
        <w:rFonts w:ascii="Verdana" w:hAnsi="Verdana" w:hint="default"/>
      </w:rPr>
    </w:lvl>
    <w:lvl w:ilvl="7" w:tplc="374A7D88">
      <w:start w:val="1"/>
      <w:numFmt w:val="bullet"/>
      <w:lvlText w:val="•"/>
      <w:lvlJc w:val="left"/>
      <w:pPr>
        <w:tabs>
          <w:tab w:val="num" w:pos="5760"/>
        </w:tabs>
        <w:ind w:left="5760" w:hanging="360"/>
      </w:pPr>
      <w:rPr>
        <w:rFonts w:ascii="Verdana" w:hAnsi="Verdana" w:hint="default"/>
      </w:rPr>
    </w:lvl>
    <w:lvl w:ilvl="8" w:tplc="6086760A">
      <w:start w:val="1"/>
      <w:numFmt w:val="bullet"/>
      <w:lvlText w:val="•"/>
      <w:lvlJc w:val="left"/>
      <w:pPr>
        <w:tabs>
          <w:tab w:val="num" w:pos="6480"/>
        </w:tabs>
        <w:ind w:left="6480" w:hanging="360"/>
      </w:pPr>
      <w:rPr>
        <w:rFonts w:ascii="Verdana" w:hAnsi="Verdana" w:hint="default"/>
      </w:rPr>
    </w:lvl>
  </w:abstractNum>
  <w:abstractNum w:abstractNumId="21" w15:restartNumberingAfterBreak="0">
    <w:nsid w:val="47E448C4"/>
    <w:multiLevelType w:val="multilevel"/>
    <w:tmpl w:val="BD5AABC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9F756BE"/>
    <w:multiLevelType w:val="hybridMultilevel"/>
    <w:tmpl w:val="2C6A3540"/>
    <w:lvl w:ilvl="0" w:tplc="469662D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BAA72C3"/>
    <w:multiLevelType w:val="hybridMultilevel"/>
    <w:tmpl w:val="29B4691E"/>
    <w:lvl w:ilvl="0" w:tplc="08FCF8BE">
      <w:start w:val="1"/>
      <w:numFmt w:val="lowerRoman"/>
      <w:lvlText w:val="%1)"/>
      <w:lvlJc w:val="left"/>
      <w:pPr>
        <w:ind w:left="1080" w:hanging="72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4" w15:restartNumberingAfterBreak="0">
    <w:nsid w:val="4D4D5AA9"/>
    <w:multiLevelType w:val="hybridMultilevel"/>
    <w:tmpl w:val="822E7C9C"/>
    <w:lvl w:ilvl="0" w:tplc="9572AC64">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DC0118B"/>
    <w:multiLevelType w:val="hybridMultilevel"/>
    <w:tmpl w:val="22906E74"/>
    <w:lvl w:ilvl="0" w:tplc="24226D86">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F2F0523"/>
    <w:multiLevelType w:val="hybridMultilevel"/>
    <w:tmpl w:val="8758C5B6"/>
    <w:lvl w:ilvl="0" w:tplc="0409001B">
      <w:start w:val="1"/>
      <w:numFmt w:val="lowerRoman"/>
      <w:lvlText w:val="%1."/>
      <w:lvlJc w:val="righ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7" w15:restartNumberingAfterBreak="0">
    <w:nsid w:val="5192195C"/>
    <w:multiLevelType w:val="hybridMultilevel"/>
    <w:tmpl w:val="37A4F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3396FA8"/>
    <w:multiLevelType w:val="hybridMultilevel"/>
    <w:tmpl w:val="626AF86E"/>
    <w:lvl w:ilvl="0" w:tplc="469662D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36A5691"/>
    <w:multiLevelType w:val="hybridMultilevel"/>
    <w:tmpl w:val="688C55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9456AEF"/>
    <w:multiLevelType w:val="hybridMultilevel"/>
    <w:tmpl w:val="5AC26280"/>
    <w:lvl w:ilvl="0" w:tplc="9572AC64">
      <w:start w:val="1"/>
      <w:numFmt w:val="bullet"/>
      <w:lvlText w:val=""/>
      <w:lvlJc w:val="left"/>
      <w:pPr>
        <w:tabs>
          <w:tab w:val="num" w:pos="648"/>
        </w:tabs>
        <w:ind w:left="648" w:hanging="288"/>
      </w:pPr>
      <w:rPr>
        <w:rFonts w:ascii="Symbol" w:hAnsi="Symbol" w:hint="default"/>
      </w:rPr>
    </w:lvl>
    <w:lvl w:ilvl="1" w:tplc="0CE2AD26">
      <w:start w:val="1"/>
      <w:numFmt w:val="decimal"/>
      <w:lvlText w:val="%2."/>
      <w:lvlJc w:val="left"/>
      <w:pPr>
        <w:tabs>
          <w:tab w:val="num" w:pos="1440"/>
        </w:tabs>
        <w:ind w:left="1440" w:hanging="360"/>
      </w:pPr>
      <w:rPr>
        <w:rFonts w:cs="Times New Roman"/>
      </w:rPr>
    </w:lvl>
    <w:lvl w:ilvl="2" w:tplc="1CF669DA">
      <w:start w:val="1"/>
      <w:numFmt w:val="decimal"/>
      <w:lvlText w:val="%3."/>
      <w:lvlJc w:val="left"/>
      <w:pPr>
        <w:tabs>
          <w:tab w:val="num" w:pos="2160"/>
        </w:tabs>
        <w:ind w:left="2160" w:hanging="360"/>
      </w:pPr>
      <w:rPr>
        <w:rFonts w:cs="Times New Roman"/>
      </w:rPr>
    </w:lvl>
    <w:lvl w:ilvl="3" w:tplc="7048F972">
      <w:start w:val="1"/>
      <w:numFmt w:val="decimal"/>
      <w:lvlText w:val="%4."/>
      <w:lvlJc w:val="left"/>
      <w:pPr>
        <w:tabs>
          <w:tab w:val="num" w:pos="2880"/>
        </w:tabs>
        <w:ind w:left="2880" w:hanging="360"/>
      </w:pPr>
      <w:rPr>
        <w:rFonts w:cs="Times New Roman"/>
      </w:rPr>
    </w:lvl>
    <w:lvl w:ilvl="4" w:tplc="0C627DB2">
      <w:start w:val="1"/>
      <w:numFmt w:val="decimal"/>
      <w:lvlText w:val="%5."/>
      <w:lvlJc w:val="left"/>
      <w:pPr>
        <w:tabs>
          <w:tab w:val="num" w:pos="3600"/>
        </w:tabs>
        <w:ind w:left="3600" w:hanging="360"/>
      </w:pPr>
      <w:rPr>
        <w:rFonts w:cs="Times New Roman"/>
      </w:rPr>
    </w:lvl>
    <w:lvl w:ilvl="5" w:tplc="852C6464">
      <w:start w:val="1"/>
      <w:numFmt w:val="decimal"/>
      <w:lvlText w:val="%6."/>
      <w:lvlJc w:val="left"/>
      <w:pPr>
        <w:tabs>
          <w:tab w:val="num" w:pos="4320"/>
        </w:tabs>
        <w:ind w:left="4320" w:hanging="360"/>
      </w:pPr>
      <w:rPr>
        <w:rFonts w:cs="Times New Roman"/>
      </w:rPr>
    </w:lvl>
    <w:lvl w:ilvl="6" w:tplc="B1C8F534">
      <w:start w:val="1"/>
      <w:numFmt w:val="decimal"/>
      <w:lvlText w:val="%7."/>
      <w:lvlJc w:val="left"/>
      <w:pPr>
        <w:tabs>
          <w:tab w:val="num" w:pos="5040"/>
        </w:tabs>
        <w:ind w:left="5040" w:hanging="360"/>
      </w:pPr>
      <w:rPr>
        <w:rFonts w:cs="Times New Roman"/>
      </w:rPr>
    </w:lvl>
    <w:lvl w:ilvl="7" w:tplc="5EA683D8">
      <w:start w:val="1"/>
      <w:numFmt w:val="decimal"/>
      <w:lvlText w:val="%8."/>
      <w:lvlJc w:val="left"/>
      <w:pPr>
        <w:tabs>
          <w:tab w:val="num" w:pos="5760"/>
        </w:tabs>
        <w:ind w:left="5760" w:hanging="360"/>
      </w:pPr>
      <w:rPr>
        <w:rFonts w:cs="Times New Roman"/>
      </w:rPr>
    </w:lvl>
    <w:lvl w:ilvl="8" w:tplc="915C11EE">
      <w:start w:val="1"/>
      <w:numFmt w:val="decimal"/>
      <w:lvlText w:val="%9."/>
      <w:lvlJc w:val="left"/>
      <w:pPr>
        <w:tabs>
          <w:tab w:val="num" w:pos="6480"/>
        </w:tabs>
        <w:ind w:left="6480" w:hanging="360"/>
      </w:pPr>
      <w:rPr>
        <w:rFonts w:cs="Times New Roman"/>
      </w:rPr>
    </w:lvl>
  </w:abstractNum>
  <w:abstractNum w:abstractNumId="31" w15:restartNumberingAfterBreak="0">
    <w:nsid w:val="5BD950C3"/>
    <w:multiLevelType w:val="hybridMultilevel"/>
    <w:tmpl w:val="A7340002"/>
    <w:lvl w:ilvl="0" w:tplc="6C428660">
      <w:start w:val="1"/>
      <w:numFmt w:val="decimal"/>
      <w:lvlText w:val="(%1)"/>
      <w:lvlJc w:val="left"/>
      <w:pPr>
        <w:ind w:left="390" w:hanging="360"/>
      </w:pPr>
      <w:rPr>
        <w:rFonts w:hint="default"/>
      </w:rPr>
    </w:lvl>
    <w:lvl w:ilvl="1" w:tplc="040C0019" w:tentative="1">
      <w:start w:val="1"/>
      <w:numFmt w:val="lowerLetter"/>
      <w:lvlText w:val="%2."/>
      <w:lvlJc w:val="left"/>
      <w:pPr>
        <w:ind w:left="1110" w:hanging="360"/>
      </w:pPr>
    </w:lvl>
    <w:lvl w:ilvl="2" w:tplc="040C001B" w:tentative="1">
      <w:start w:val="1"/>
      <w:numFmt w:val="lowerRoman"/>
      <w:lvlText w:val="%3."/>
      <w:lvlJc w:val="right"/>
      <w:pPr>
        <w:ind w:left="1830" w:hanging="180"/>
      </w:pPr>
    </w:lvl>
    <w:lvl w:ilvl="3" w:tplc="040C000F" w:tentative="1">
      <w:start w:val="1"/>
      <w:numFmt w:val="decimal"/>
      <w:lvlText w:val="%4."/>
      <w:lvlJc w:val="left"/>
      <w:pPr>
        <w:ind w:left="2550" w:hanging="360"/>
      </w:pPr>
    </w:lvl>
    <w:lvl w:ilvl="4" w:tplc="040C0019" w:tentative="1">
      <w:start w:val="1"/>
      <w:numFmt w:val="lowerLetter"/>
      <w:lvlText w:val="%5."/>
      <w:lvlJc w:val="left"/>
      <w:pPr>
        <w:ind w:left="3270" w:hanging="360"/>
      </w:pPr>
    </w:lvl>
    <w:lvl w:ilvl="5" w:tplc="040C001B" w:tentative="1">
      <w:start w:val="1"/>
      <w:numFmt w:val="lowerRoman"/>
      <w:lvlText w:val="%6."/>
      <w:lvlJc w:val="right"/>
      <w:pPr>
        <w:ind w:left="3990" w:hanging="180"/>
      </w:pPr>
    </w:lvl>
    <w:lvl w:ilvl="6" w:tplc="040C000F" w:tentative="1">
      <w:start w:val="1"/>
      <w:numFmt w:val="decimal"/>
      <w:lvlText w:val="%7."/>
      <w:lvlJc w:val="left"/>
      <w:pPr>
        <w:ind w:left="4710" w:hanging="360"/>
      </w:pPr>
    </w:lvl>
    <w:lvl w:ilvl="7" w:tplc="040C0019" w:tentative="1">
      <w:start w:val="1"/>
      <w:numFmt w:val="lowerLetter"/>
      <w:lvlText w:val="%8."/>
      <w:lvlJc w:val="left"/>
      <w:pPr>
        <w:ind w:left="5430" w:hanging="360"/>
      </w:pPr>
    </w:lvl>
    <w:lvl w:ilvl="8" w:tplc="040C001B" w:tentative="1">
      <w:start w:val="1"/>
      <w:numFmt w:val="lowerRoman"/>
      <w:lvlText w:val="%9."/>
      <w:lvlJc w:val="right"/>
      <w:pPr>
        <w:ind w:left="6150" w:hanging="180"/>
      </w:pPr>
    </w:lvl>
  </w:abstractNum>
  <w:abstractNum w:abstractNumId="32" w15:restartNumberingAfterBreak="0">
    <w:nsid w:val="5C5E3FBD"/>
    <w:multiLevelType w:val="hybridMultilevel"/>
    <w:tmpl w:val="FF7E240E"/>
    <w:lvl w:ilvl="0" w:tplc="9F922B0A">
      <w:start w:val="1"/>
      <w:numFmt w:val="bullet"/>
      <w:lvlText w:val="•"/>
      <w:lvlJc w:val="left"/>
      <w:pPr>
        <w:tabs>
          <w:tab w:val="num" w:pos="720"/>
        </w:tabs>
        <w:ind w:left="720" w:hanging="360"/>
      </w:pPr>
      <w:rPr>
        <w:rFonts w:ascii="Verdana" w:hAnsi="Verdana" w:hint="default"/>
      </w:rPr>
    </w:lvl>
    <w:lvl w:ilvl="1" w:tplc="80DCD944">
      <w:start w:val="1"/>
      <w:numFmt w:val="bullet"/>
      <w:lvlText w:val="•"/>
      <w:lvlJc w:val="left"/>
      <w:pPr>
        <w:tabs>
          <w:tab w:val="num" w:pos="1440"/>
        </w:tabs>
        <w:ind w:left="1440" w:hanging="360"/>
      </w:pPr>
      <w:rPr>
        <w:rFonts w:ascii="Verdana" w:hAnsi="Verdana" w:hint="default"/>
      </w:rPr>
    </w:lvl>
    <w:lvl w:ilvl="2" w:tplc="861A1114">
      <w:start w:val="1"/>
      <w:numFmt w:val="bullet"/>
      <w:lvlText w:val="•"/>
      <w:lvlJc w:val="left"/>
      <w:pPr>
        <w:tabs>
          <w:tab w:val="num" w:pos="2160"/>
        </w:tabs>
        <w:ind w:left="2160" w:hanging="360"/>
      </w:pPr>
      <w:rPr>
        <w:rFonts w:ascii="Verdana" w:hAnsi="Verdana" w:hint="default"/>
      </w:rPr>
    </w:lvl>
    <w:lvl w:ilvl="3" w:tplc="788041C8">
      <w:start w:val="1"/>
      <w:numFmt w:val="bullet"/>
      <w:lvlText w:val="•"/>
      <w:lvlJc w:val="left"/>
      <w:pPr>
        <w:tabs>
          <w:tab w:val="num" w:pos="2880"/>
        </w:tabs>
        <w:ind w:left="2880" w:hanging="360"/>
      </w:pPr>
      <w:rPr>
        <w:rFonts w:ascii="Verdana" w:hAnsi="Verdana" w:hint="default"/>
      </w:rPr>
    </w:lvl>
    <w:lvl w:ilvl="4" w:tplc="13A0685C">
      <w:start w:val="1"/>
      <w:numFmt w:val="bullet"/>
      <w:lvlText w:val="•"/>
      <w:lvlJc w:val="left"/>
      <w:pPr>
        <w:tabs>
          <w:tab w:val="num" w:pos="3600"/>
        </w:tabs>
        <w:ind w:left="3600" w:hanging="360"/>
      </w:pPr>
      <w:rPr>
        <w:rFonts w:ascii="Verdana" w:hAnsi="Verdana" w:hint="default"/>
      </w:rPr>
    </w:lvl>
    <w:lvl w:ilvl="5" w:tplc="FFA870AA">
      <w:start w:val="1"/>
      <w:numFmt w:val="bullet"/>
      <w:lvlText w:val="•"/>
      <w:lvlJc w:val="left"/>
      <w:pPr>
        <w:tabs>
          <w:tab w:val="num" w:pos="4320"/>
        </w:tabs>
        <w:ind w:left="4320" w:hanging="360"/>
      </w:pPr>
      <w:rPr>
        <w:rFonts w:ascii="Verdana" w:hAnsi="Verdana" w:hint="default"/>
      </w:rPr>
    </w:lvl>
    <w:lvl w:ilvl="6" w:tplc="B18E3280">
      <w:start w:val="1"/>
      <w:numFmt w:val="bullet"/>
      <w:lvlText w:val="•"/>
      <w:lvlJc w:val="left"/>
      <w:pPr>
        <w:tabs>
          <w:tab w:val="num" w:pos="5040"/>
        </w:tabs>
        <w:ind w:left="5040" w:hanging="360"/>
      </w:pPr>
      <w:rPr>
        <w:rFonts w:ascii="Verdana" w:hAnsi="Verdana" w:hint="default"/>
      </w:rPr>
    </w:lvl>
    <w:lvl w:ilvl="7" w:tplc="A530C812">
      <w:start w:val="1"/>
      <w:numFmt w:val="bullet"/>
      <w:lvlText w:val="•"/>
      <w:lvlJc w:val="left"/>
      <w:pPr>
        <w:tabs>
          <w:tab w:val="num" w:pos="5760"/>
        </w:tabs>
        <w:ind w:left="5760" w:hanging="360"/>
      </w:pPr>
      <w:rPr>
        <w:rFonts w:ascii="Verdana" w:hAnsi="Verdana" w:hint="default"/>
      </w:rPr>
    </w:lvl>
    <w:lvl w:ilvl="8" w:tplc="1700B042">
      <w:start w:val="1"/>
      <w:numFmt w:val="bullet"/>
      <w:lvlText w:val="•"/>
      <w:lvlJc w:val="left"/>
      <w:pPr>
        <w:tabs>
          <w:tab w:val="num" w:pos="6480"/>
        </w:tabs>
        <w:ind w:left="6480" w:hanging="360"/>
      </w:pPr>
      <w:rPr>
        <w:rFonts w:ascii="Verdana" w:hAnsi="Verdana" w:hint="default"/>
      </w:rPr>
    </w:lvl>
  </w:abstractNum>
  <w:abstractNum w:abstractNumId="33" w15:restartNumberingAfterBreak="0">
    <w:nsid w:val="5CE173C5"/>
    <w:multiLevelType w:val="hybridMultilevel"/>
    <w:tmpl w:val="12EAEE92"/>
    <w:lvl w:ilvl="0" w:tplc="4E5CA9D0">
      <w:start w:val="5"/>
      <w:numFmt w:val="bullet"/>
      <w:lvlText w:val=""/>
      <w:lvlJc w:val="left"/>
      <w:pPr>
        <w:ind w:left="720" w:hanging="360"/>
      </w:pPr>
      <w:rPr>
        <w:rFonts w:ascii="Wingdings" w:eastAsia="Times New Roman" w:hAnsi="Wingdings"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E111A1"/>
    <w:multiLevelType w:val="hybridMultilevel"/>
    <w:tmpl w:val="6A886314"/>
    <w:lvl w:ilvl="0" w:tplc="BD6A28F4">
      <w:start w:val="32"/>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2C5773E"/>
    <w:multiLevelType w:val="hybridMultilevel"/>
    <w:tmpl w:val="AF68ADCE"/>
    <w:lvl w:ilvl="0" w:tplc="CAEA010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435CAD"/>
    <w:multiLevelType w:val="hybridMultilevel"/>
    <w:tmpl w:val="1F267D30"/>
    <w:lvl w:ilvl="0" w:tplc="F626AD34">
      <w:start w:val="1"/>
      <w:numFmt w:val="lowerRoman"/>
      <w:lvlText w:val="(%1)"/>
      <w:lvlJc w:val="left"/>
      <w:pPr>
        <w:ind w:left="1080" w:hanging="72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7" w15:restartNumberingAfterBreak="0">
    <w:nsid w:val="64F13F7F"/>
    <w:multiLevelType w:val="hybridMultilevel"/>
    <w:tmpl w:val="45CAA5A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hint="default"/>
      </w:rPr>
    </w:lvl>
    <w:lvl w:ilvl="8" w:tplc="040C0005">
      <w:start w:val="1"/>
      <w:numFmt w:val="bullet"/>
      <w:lvlText w:val=""/>
      <w:lvlJc w:val="left"/>
      <w:pPr>
        <w:ind w:left="6828" w:hanging="360"/>
      </w:pPr>
      <w:rPr>
        <w:rFonts w:ascii="Wingdings" w:hAnsi="Wingdings" w:hint="default"/>
      </w:rPr>
    </w:lvl>
  </w:abstractNum>
  <w:abstractNum w:abstractNumId="38" w15:restartNumberingAfterBreak="0">
    <w:nsid w:val="6747622A"/>
    <w:multiLevelType w:val="hybridMultilevel"/>
    <w:tmpl w:val="17B00194"/>
    <w:lvl w:ilvl="0" w:tplc="65A84144">
      <w:start w:val="5"/>
      <w:numFmt w:val="bullet"/>
      <w:lvlText w:val=""/>
      <w:lvlJc w:val="left"/>
      <w:pPr>
        <w:ind w:left="720" w:hanging="360"/>
      </w:pPr>
      <w:rPr>
        <w:rFonts w:ascii="Wingdings" w:eastAsia="Times New Roman" w:hAnsi="Wingdings"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8F71C4"/>
    <w:multiLevelType w:val="hybridMultilevel"/>
    <w:tmpl w:val="71986882"/>
    <w:lvl w:ilvl="0" w:tplc="C1E03B44">
      <w:start w:val="1"/>
      <w:numFmt w:val="bullet"/>
      <w:lvlText w:val="•"/>
      <w:lvlJc w:val="left"/>
      <w:pPr>
        <w:tabs>
          <w:tab w:val="num" w:pos="720"/>
        </w:tabs>
        <w:ind w:left="720" w:hanging="360"/>
      </w:pPr>
      <w:rPr>
        <w:rFonts w:ascii="Verdana" w:hAnsi="Verdana" w:hint="default"/>
      </w:rPr>
    </w:lvl>
    <w:lvl w:ilvl="1" w:tplc="F7C84AEA">
      <w:start w:val="1"/>
      <w:numFmt w:val="bullet"/>
      <w:lvlText w:val="•"/>
      <w:lvlJc w:val="left"/>
      <w:pPr>
        <w:tabs>
          <w:tab w:val="num" w:pos="1440"/>
        </w:tabs>
        <w:ind w:left="1440" w:hanging="360"/>
      </w:pPr>
      <w:rPr>
        <w:rFonts w:ascii="Verdana" w:hAnsi="Verdana" w:hint="default"/>
      </w:rPr>
    </w:lvl>
    <w:lvl w:ilvl="2" w:tplc="850E0538">
      <w:start w:val="1"/>
      <w:numFmt w:val="bullet"/>
      <w:lvlText w:val="•"/>
      <w:lvlJc w:val="left"/>
      <w:pPr>
        <w:tabs>
          <w:tab w:val="num" w:pos="2160"/>
        </w:tabs>
        <w:ind w:left="2160" w:hanging="360"/>
      </w:pPr>
      <w:rPr>
        <w:rFonts w:ascii="Verdana" w:hAnsi="Verdana" w:hint="default"/>
      </w:rPr>
    </w:lvl>
    <w:lvl w:ilvl="3" w:tplc="ACBE73D0">
      <w:start w:val="1"/>
      <w:numFmt w:val="bullet"/>
      <w:lvlText w:val="•"/>
      <w:lvlJc w:val="left"/>
      <w:pPr>
        <w:tabs>
          <w:tab w:val="num" w:pos="2880"/>
        </w:tabs>
        <w:ind w:left="2880" w:hanging="360"/>
      </w:pPr>
      <w:rPr>
        <w:rFonts w:ascii="Verdana" w:hAnsi="Verdana" w:hint="default"/>
      </w:rPr>
    </w:lvl>
    <w:lvl w:ilvl="4" w:tplc="575E3CEA">
      <w:start w:val="1"/>
      <w:numFmt w:val="bullet"/>
      <w:lvlText w:val="•"/>
      <w:lvlJc w:val="left"/>
      <w:pPr>
        <w:tabs>
          <w:tab w:val="num" w:pos="3600"/>
        </w:tabs>
        <w:ind w:left="3600" w:hanging="360"/>
      </w:pPr>
      <w:rPr>
        <w:rFonts w:ascii="Verdana" w:hAnsi="Verdana" w:hint="default"/>
      </w:rPr>
    </w:lvl>
    <w:lvl w:ilvl="5" w:tplc="3E20DC9C">
      <w:start w:val="1"/>
      <w:numFmt w:val="bullet"/>
      <w:lvlText w:val="•"/>
      <w:lvlJc w:val="left"/>
      <w:pPr>
        <w:tabs>
          <w:tab w:val="num" w:pos="4320"/>
        </w:tabs>
        <w:ind w:left="4320" w:hanging="360"/>
      </w:pPr>
      <w:rPr>
        <w:rFonts w:ascii="Verdana" w:hAnsi="Verdana" w:hint="default"/>
      </w:rPr>
    </w:lvl>
    <w:lvl w:ilvl="6" w:tplc="CF56CEDC">
      <w:start w:val="1"/>
      <w:numFmt w:val="bullet"/>
      <w:lvlText w:val="•"/>
      <w:lvlJc w:val="left"/>
      <w:pPr>
        <w:tabs>
          <w:tab w:val="num" w:pos="5040"/>
        </w:tabs>
        <w:ind w:left="5040" w:hanging="360"/>
      </w:pPr>
      <w:rPr>
        <w:rFonts w:ascii="Verdana" w:hAnsi="Verdana" w:hint="default"/>
      </w:rPr>
    </w:lvl>
    <w:lvl w:ilvl="7" w:tplc="6792ED34">
      <w:start w:val="1"/>
      <w:numFmt w:val="bullet"/>
      <w:lvlText w:val="•"/>
      <w:lvlJc w:val="left"/>
      <w:pPr>
        <w:tabs>
          <w:tab w:val="num" w:pos="5760"/>
        </w:tabs>
        <w:ind w:left="5760" w:hanging="360"/>
      </w:pPr>
      <w:rPr>
        <w:rFonts w:ascii="Verdana" w:hAnsi="Verdana" w:hint="default"/>
      </w:rPr>
    </w:lvl>
    <w:lvl w:ilvl="8" w:tplc="9C2E0B6C">
      <w:start w:val="1"/>
      <w:numFmt w:val="bullet"/>
      <w:lvlText w:val="•"/>
      <w:lvlJc w:val="left"/>
      <w:pPr>
        <w:tabs>
          <w:tab w:val="num" w:pos="6480"/>
        </w:tabs>
        <w:ind w:left="6480" w:hanging="360"/>
      </w:pPr>
      <w:rPr>
        <w:rFonts w:ascii="Verdana" w:hAnsi="Verdana" w:hint="default"/>
      </w:rPr>
    </w:lvl>
  </w:abstractNum>
  <w:abstractNum w:abstractNumId="40" w15:restartNumberingAfterBreak="0">
    <w:nsid w:val="6D146732"/>
    <w:multiLevelType w:val="hybridMultilevel"/>
    <w:tmpl w:val="50903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DD67E04"/>
    <w:multiLevelType w:val="hybridMultilevel"/>
    <w:tmpl w:val="818EA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E001DB"/>
    <w:multiLevelType w:val="hybridMultilevel"/>
    <w:tmpl w:val="9DFEA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E67528"/>
    <w:multiLevelType w:val="multilevel"/>
    <w:tmpl w:val="98F46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0D49D5"/>
    <w:multiLevelType w:val="hybridMultilevel"/>
    <w:tmpl w:val="6DEC62E6"/>
    <w:lvl w:ilvl="0" w:tplc="EC1A6A90">
      <w:start w:val="1"/>
      <w:numFmt w:val="decimal"/>
      <w:lvlText w:val="(%1)"/>
      <w:lvlJc w:val="left"/>
      <w:pPr>
        <w:ind w:left="565" w:hanging="360"/>
      </w:pPr>
      <w:rPr>
        <w:rFonts w:hint="default"/>
      </w:rPr>
    </w:lvl>
    <w:lvl w:ilvl="1" w:tplc="040C0019" w:tentative="1">
      <w:start w:val="1"/>
      <w:numFmt w:val="lowerLetter"/>
      <w:lvlText w:val="%2."/>
      <w:lvlJc w:val="left"/>
      <w:pPr>
        <w:ind w:left="1285" w:hanging="360"/>
      </w:pPr>
    </w:lvl>
    <w:lvl w:ilvl="2" w:tplc="040C001B" w:tentative="1">
      <w:start w:val="1"/>
      <w:numFmt w:val="lowerRoman"/>
      <w:lvlText w:val="%3."/>
      <w:lvlJc w:val="right"/>
      <w:pPr>
        <w:ind w:left="2005" w:hanging="180"/>
      </w:pPr>
    </w:lvl>
    <w:lvl w:ilvl="3" w:tplc="040C000F" w:tentative="1">
      <w:start w:val="1"/>
      <w:numFmt w:val="decimal"/>
      <w:lvlText w:val="%4."/>
      <w:lvlJc w:val="left"/>
      <w:pPr>
        <w:ind w:left="2725" w:hanging="360"/>
      </w:pPr>
    </w:lvl>
    <w:lvl w:ilvl="4" w:tplc="040C0019" w:tentative="1">
      <w:start w:val="1"/>
      <w:numFmt w:val="lowerLetter"/>
      <w:lvlText w:val="%5."/>
      <w:lvlJc w:val="left"/>
      <w:pPr>
        <w:ind w:left="3445" w:hanging="360"/>
      </w:pPr>
    </w:lvl>
    <w:lvl w:ilvl="5" w:tplc="040C001B" w:tentative="1">
      <w:start w:val="1"/>
      <w:numFmt w:val="lowerRoman"/>
      <w:lvlText w:val="%6."/>
      <w:lvlJc w:val="right"/>
      <w:pPr>
        <w:ind w:left="4165" w:hanging="180"/>
      </w:pPr>
    </w:lvl>
    <w:lvl w:ilvl="6" w:tplc="040C000F" w:tentative="1">
      <w:start w:val="1"/>
      <w:numFmt w:val="decimal"/>
      <w:lvlText w:val="%7."/>
      <w:lvlJc w:val="left"/>
      <w:pPr>
        <w:ind w:left="4885" w:hanging="360"/>
      </w:pPr>
    </w:lvl>
    <w:lvl w:ilvl="7" w:tplc="040C0019" w:tentative="1">
      <w:start w:val="1"/>
      <w:numFmt w:val="lowerLetter"/>
      <w:lvlText w:val="%8."/>
      <w:lvlJc w:val="left"/>
      <w:pPr>
        <w:ind w:left="5605" w:hanging="360"/>
      </w:pPr>
    </w:lvl>
    <w:lvl w:ilvl="8" w:tplc="040C001B" w:tentative="1">
      <w:start w:val="1"/>
      <w:numFmt w:val="lowerRoman"/>
      <w:lvlText w:val="%9."/>
      <w:lvlJc w:val="right"/>
      <w:pPr>
        <w:ind w:left="6325" w:hanging="180"/>
      </w:pPr>
    </w:lvl>
  </w:abstractNum>
  <w:abstractNum w:abstractNumId="45" w15:restartNumberingAfterBreak="0">
    <w:nsid w:val="7BAC5AB4"/>
    <w:multiLevelType w:val="hybridMultilevel"/>
    <w:tmpl w:val="C484AFC0"/>
    <w:lvl w:ilvl="0" w:tplc="ECA2C610">
      <w:start w:val="1"/>
      <w:numFmt w:val="bullet"/>
      <w:lvlText w:val="•"/>
      <w:lvlJc w:val="left"/>
      <w:pPr>
        <w:tabs>
          <w:tab w:val="num" w:pos="720"/>
        </w:tabs>
        <w:ind w:left="720" w:hanging="360"/>
      </w:pPr>
      <w:rPr>
        <w:rFonts w:ascii="Verdana" w:hAnsi="Verdana" w:hint="default"/>
      </w:rPr>
    </w:lvl>
    <w:lvl w:ilvl="1" w:tplc="03F2BC6C">
      <w:start w:val="1"/>
      <w:numFmt w:val="bullet"/>
      <w:lvlText w:val="•"/>
      <w:lvlJc w:val="left"/>
      <w:pPr>
        <w:tabs>
          <w:tab w:val="num" w:pos="1440"/>
        </w:tabs>
        <w:ind w:left="1440" w:hanging="360"/>
      </w:pPr>
      <w:rPr>
        <w:rFonts w:ascii="Verdana" w:hAnsi="Verdana" w:hint="default"/>
      </w:rPr>
    </w:lvl>
    <w:lvl w:ilvl="2" w:tplc="04EC194C">
      <w:start w:val="1"/>
      <w:numFmt w:val="bullet"/>
      <w:lvlText w:val="•"/>
      <w:lvlJc w:val="left"/>
      <w:pPr>
        <w:tabs>
          <w:tab w:val="num" w:pos="2160"/>
        </w:tabs>
        <w:ind w:left="2160" w:hanging="360"/>
      </w:pPr>
      <w:rPr>
        <w:rFonts w:ascii="Verdana" w:hAnsi="Verdana" w:hint="default"/>
      </w:rPr>
    </w:lvl>
    <w:lvl w:ilvl="3" w:tplc="B9243246">
      <w:start w:val="1"/>
      <w:numFmt w:val="bullet"/>
      <w:lvlText w:val="•"/>
      <w:lvlJc w:val="left"/>
      <w:pPr>
        <w:tabs>
          <w:tab w:val="num" w:pos="2880"/>
        </w:tabs>
        <w:ind w:left="2880" w:hanging="360"/>
      </w:pPr>
      <w:rPr>
        <w:rFonts w:ascii="Verdana" w:hAnsi="Verdana" w:hint="default"/>
      </w:rPr>
    </w:lvl>
    <w:lvl w:ilvl="4" w:tplc="FD880B76">
      <w:start w:val="1"/>
      <w:numFmt w:val="bullet"/>
      <w:lvlText w:val="•"/>
      <w:lvlJc w:val="left"/>
      <w:pPr>
        <w:tabs>
          <w:tab w:val="num" w:pos="3600"/>
        </w:tabs>
        <w:ind w:left="3600" w:hanging="360"/>
      </w:pPr>
      <w:rPr>
        <w:rFonts w:ascii="Verdana" w:hAnsi="Verdana" w:hint="default"/>
      </w:rPr>
    </w:lvl>
    <w:lvl w:ilvl="5" w:tplc="FBC2F632">
      <w:start w:val="1"/>
      <w:numFmt w:val="bullet"/>
      <w:lvlText w:val="•"/>
      <w:lvlJc w:val="left"/>
      <w:pPr>
        <w:tabs>
          <w:tab w:val="num" w:pos="4320"/>
        </w:tabs>
        <w:ind w:left="4320" w:hanging="360"/>
      </w:pPr>
      <w:rPr>
        <w:rFonts w:ascii="Verdana" w:hAnsi="Verdana" w:hint="default"/>
      </w:rPr>
    </w:lvl>
    <w:lvl w:ilvl="6" w:tplc="675240BC">
      <w:start w:val="1"/>
      <w:numFmt w:val="bullet"/>
      <w:lvlText w:val="•"/>
      <w:lvlJc w:val="left"/>
      <w:pPr>
        <w:tabs>
          <w:tab w:val="num" w:pos="5040"/>
        </w:tabs>
        <w:ind w:left="5040" w:hanging="360"/>
      </w:pPr>
      <w:rPr>
        <w:rFonts w:ascii="Verdana" w:hAnsi="Verdana" w:hint="default"/>
      </w:rPr>
    </w:lvl>
    <w:lvl w:ilvl="7" w:tplc="B730283E">
      <w:start w:val="1"/>
      <w:numFmt w:val="bullet"/>
      <w:lvlText w:val="•"/>
      <w:lvlJc w:val="left"/>
      <w:pPr>
        <w:tabs>
          <w:tab w:val="num" w:pos="5760"/>
        </w:tabs>
        <w:ind w:left="5760" w:hanging="360"/>
      </w:pPr>
      <w:rPr>
        <w:rFonts w:ascii="Verdana" w:hAnsi="Verdana" w:hint="default"/>
      </w:rPr>
    </w:lvl>
    <w:lvl w:ilvl="8" w:tplc="45B6BFBA">
      <w:start w:val="1"/>
      <w:numFmt w:val="bullet"/>
      <w:lvlText w:val="•"/>
      <w:lvlJc w:val="left"/>
      <w:pPr>
        <w:tabs>
          <w:tab w:val="num" w:pos="6480"/>
        </w:tabs>
        <w:ind w:left="6480" w:hanging="360"/>
      </w:pPr>
      <w:rPr>
        <w:rFonts w:ascii="Verdana" w:hAnsi="Verdana" w:hint="default"/>
      </w:rPr>
    </w:lvl>
  </w:abstractNum>
  <w:abstractNum w:abstractNumId="46" w15:restartNumberingAfterBreak="0">
    <w:nsid w:val="7E3D375E"/>
    <w:multiLevelType w:val="hybridMultilevel"/>
    <w:tmpl w:val="C61A7EB0"/>
    <w:lvl w:ilvl="0" w:tplc="D9C61ED6">
      <w:start w:val="1"/>
      <w:numFmt w:val="bullet"/>
      <w:lvlText w:val="•"/>
      <w:lvlJc w:val="left"/>
      <w:pPr>
        <w:tabs>
          <w:tab w:val="num" w:pos="720"/>
        </w:tabs>
        <w:ind w:left="720" w:hanging="360"/>
      </w:pPr>
      <w:rPr>
        <w:rFonts w:ascii="Verdana" w:hAnsi="Verdana" w:hint="default"/>
      </w:rPr>
    </w:lvl>
    <w:lvl w:ilvl="1" w:tplc="04090001">
      <w:start w:val="1"/>
      <w:numFmt w:val="bullet"/>
      <w:lvlText w:val=""/>
      <w:lvlJc w:val="left"/>
      <w:pPr>
        <w:tabs>
          <w:tab w:val="num" w:pos="1440"/>
        </w:tabs>
        <w:ind w:left="1440" w:hanging="360"/>
      </w:pPr>
      <w:rPr>
        <w:rFonts w:ascii="Symbol" w:hAnsi="Symbol" w:hint="default"/>
      </w:rPr>
    </w:lvl>
    <w:lvl w:ilvl="2" w:tplc="EF16C28A">
      <w:start w:val="1"/>
      <w:numFmt w:val="bullet"/>
      <w:lvlText w:val="•"/>
      <w:lvlJc w:val="left"/>
      <w:pPr>
        <w:tabs>
          <w:tab w:val="num" w:pos="2160"/>
        </w:tabs>
        <w:ind w:left="2160" w:hanging="360"/>
      </w:pPr>
      <w:rPr>
        <w:rFonts w:ascii="Verdana" w:hAnsi="Verdana" w:hint="default"/>
      </w:rPr>
    </w:lvl>
    <w:lvl w:ilvl="3" w:tplc="D3922800">
      <w:start w:val="1"/>
      <w:numFmt w:val="bullet"/>
      <w:lvlText w:val="•"/>
      <w:lvlJc w:val="left"/>
      <w:pPr>
        <w:tabs>
          <w:tab w:val="num" w:pos="2880"/>
        </w:tabs>
        <w:ind w:left="2880" w:hanging="360"/>
      </w:pPr>
      <w:rPr>
        <w:rFonts w:ascii="Verdana" w:hAnsi="Verdana" w:hint="default"/>
      </w:rPr>
    </w:lvl>
    <w:lvl w:ilvl="4" w:tplc="E50ED67C">
      <w:start w:val="1"/>
      <w:numFmt w:val="bullet"/>
      <w:lvlText w:val="•"/>
      <w:lvlJc w:val="left"/>
      <w:pPr>
        <w:tabs>
          <w:tab w:val="num" w:pos="3600"/>
        </w:tabs>
        <w:ind w:left="3600" w:hanging="360"/>
      </w:pPr>
      <w:rPr>
        <w:rFonts w:ascii="Verdana" w:hAnsi="Verdana" w:hint="default"/>
      </w:rPr>
    </w:lvl>
    <w:lvl w:ilvl="5" w:tplc="0492CDA8">
      <w:start w:val="1"/>
      <w:numFmt w:val="bullet"/>
      <w:lvlText w:val="•"/>
      <w:lvlJc w:val="left"/>
      <w:pPr>
        <w:tabs>
          <w:tab w:val="num" w:pos="4320"/>
        </w:tabs>
        <w:ind w:left="4320" w:hanging="360"/>
      </w:pPr>
      <w:rPr>
        <w:rFonts w:ascii="Verdana" w:hAnsi="Verdana" w:hint="default"/>
      </w:rPr>
    </w:lvl>
    <w:lvl w:ilvl="6" w:tplc="43244C0C">
      <w:start w:val="1"/>
      <w:numFmt w:val="bullet"/>
      <w:lvlText w:val="•"/>
      <w:lvlJc w:val="left"/>
      <w:pPr>
        <w:tabs>
          <w:tab w:val="num" w:pos="5040"/>
        </w:tabs>
        <w:ind w:left="5040" w:hanging="360"/>
      </w:pPr>
      <w:rPr>
        <w:rFonts w:ascii="Verdana" w:hAnsi="Verdana" w:hint="default"/>
      </w:rPr>
    </w:lvl>
    <w:lvl w:ilvl="7" w:tplc="EF9CB96A">
      <w:start w:val="1"/>
      <w:numFmt w:val="bullet"/>
      <w:lvlText w:val="•"/>
      <w:lvlJc w:val="left"/>
      <w:pPr>
        <w:tabs>
          <w:tab w:val="num" w:pos="5760"/>
        </w:tabs>
        <w:ind w:left="5760" w:hanging="360"/>
      </w:pPr>
      <w:rPr>
        <w:rFonts w:ascii="Verdana" w:hAnsi="Verdana" w:hint="default"/>
      </w:rPr>
    </w:lvl>
    <w:lvl w:ilvl="8" w:tplc="B99C3FD0">
      <w:start w:val="1"/>
      <w:numFmt w:val="bullet"/>
      <w:lvlText w:val="•"/>
      <w:lvlJc w:val="left"/>
      <w:pPr>
        <w:tabs>
          <w:tab w:val="num" w:pos="6480"/>
        </w:tabs>
        <w:ind w:left="6480" w:hanging="360"/>
      </w:pPr>
      <w:rPr>
        <w:rFonts w:ascii="Verdana" w:hAnsi="Verdana" w:hint="default"/>
      </w:rPr>
    </w:lvl>
  </w:abstractNum>
  <w:num w:numId="1">
    <w:abstractNumId w:val="21"/>
  </w:num>
  <w:num w:numId="2">
    <w:abstractNumId w:val="12"/>
  </w:num>
  <w:num w:numId="3">
    <w:abstractNumId w:val="28"/>
  </w:num>
  <w:num w:numId="4">
    <w:abstractNumId w:val="11"/>
  </w:num>
  <w:num w:numId="5">
    <w:abstractNumId w:val="36"/>
  </w:num>
  <w:num w:numId="6">
    <w:abstractNumId w:val="3"/>
  </w:num>
  <w:num w:numId="7">
    <w:abstractNumId w:val="17"/>
  </w:num>
  <w:num w:numId="8">
    <w:abstractNumId w:val="4"/>
  </w:num>
  <w:num w:numId="9">
    <w:abstractNumId w:val="19"/>
  </w:num>
  <w:num w:numId="10">
    <w:abstractNumId w:val="40"/>
  </w:num>
  <w:num w:numId="11">
    <w:abstractNumId w:val="13"/>
  </w:num>
  <w:num w:numId="12">
    <w:abstractNumId w:val="24"/>
  </w:num>
  <w:num w:numId="13">
    <w:abstractNumId w:val="37"/>
  </w:num>
  <w:num w:numId="14">
    <w:abstractNumId w:val="27"/>
  </w:num>
  <w:num w:numId="15">
    <w:abstractNumId w:val="45"/>
  </w:num>
  <w:num w:numId="16">
    <w:abstractNumId w:val="32"/>
  </w:num>
  <w:num w:numId="17">
    <w:abstractNumId w:val="20"/>
  </w:num>
  <w:num w:numId="18">
    <w:abstractNumId w:val="39"/>
  </w:num>
  <w:num w:numId="19">
    <w:abstractNumId w:val="46"/>
  </w:num>
  <w:num w:numId="20">
    <w:abstractNumId w:val="5"/>
  </w:num>
  <w:num w:numId="21">
    <w:abstractNumId w:val="41"/>
  </w:num>
  <w:num w:numId="22">
    <w:abstractNumId w:val="42"/>
  </w:num>
  <w:num w:numId="23">
    <w:abstractNumId w:val="18"/>
  </w:num>
  <w:num w:numId="24">
    <w:abstractNumId w:val="0"/>
  </w:num>
  <w:num w:numId="25">
    <w:abstractNumId w:val="35"/>
  </w:num>
  <w:num w:numId="26">
    <w:abstractNumId w:val="29"/>
  </w:num>
  <w:num w:numId="27">
    <w:abstractNumId w:val="25"/>
  </w:num>
  <w:num w:numId="28">
    <w:abstractNumId w:val="16"/>
  </w:num>
  <w:num w:numId="29">
    <w:abstractNumId w:val="8"/>
  </w:num>
  <w:num w:numId="30">
    <w:abstractNumId w:val="30"/>
  </w:num>
  <w:num w:numId="31">
    <w:abstractNumId w:val="7"/>
  </w:num>
  <w:num w:numId="32">
    <w:abstractNumId w:val="15"/>
  </w:num>
  <w:num w:numId="33">
    <w:abstractNumId w:val="14"/>
  </w:num>
  <w:num w:numId="34">
    <w:abstractNumId w:val="43"/>
  </w:num>
  <w:num w:numId="35">
    <w:abstractNumId w:val="34"/>
  </w:num>
  <w:num w:numId="36">
    <w:abstractNumId w:val="1"/>
  </w:num>
  <w:num w:numId="37">
    <w:abstractNumId w:val="23"/>
  </w:num>
  <w:num w:numId="38">
    <w:abstractNumId w:val="10"/>
  </w:num>
  <w:num w:numId="39">
    <w:abstractNumId w:val="26"/>
  </w:num>
  <w:num w:numId="40">
    <w:abstractNumId w:val="33"/>
  </w:num>
  <w:num w:numId="41">
    <w:abstractNumId w:val="38"/>
  </w:num>
  <w:num w:numId="42">
    <w:abstractNumId w:val="6"/>
  </w:num>
  <w:num w:numId="43">
    <w:abstractNumId w:val="9"/>
  </w:num>
  <w:num w:numId="44">
    <w:abstractNumId w:val="44"/>
  </w:num>
  <w:num w:numId="45">
    <w:abstractNumId w:val="31"/>
  </w:num>
  <w:num w:numId="46">
    <w:abstractNumId w:val="22"/>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46D0"/>
    <w:rsid w:val="000442BE"/>
    <w:rsid w:val="000B1FCF"/>
    <w:rsid w:val="0022374B"/>
    <w:rsid w:val="00263E25"/>
    <w:rsid w:val="0038130A"/>
    <w:rsid w:val="003965DB"/>
    <w:rsid w:val="00493220"/>
    <w:rsid w:val="008870D4"/>
    <w:rsid w:val="008C092C"/>
    <w:rsid w:val="00940B84"/>
    <w:rsid w:val="00A2515F"/>
    <w:rsid w:val="00A45CA1"/>
    <w:rsid w:val="00A83786"/>
    <w:rsid w:val="00B446D0"/>
    <w:rsid w:val="00C73288"/>
    <w:rsid w:val="00CB15D7"/>
    <w:rsid w:val="00CD18E4"/>
    <w:rsid w:val="00D53234"/>
    <w:rsid w:val="00DC25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20BFFF-2EAF-4E97-A0ED-7FF5C6B16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6D0"/>
    <w:pPr>
      <w:spacing w:after="0" w:line="240" w:lineRule="auto"/>
    </w:pPr>
    <w:rPr>
      <w:rFonts w:ascii="Arial" w:eastAsia="Times New Roman" w:hAnsi="Arial" w:cs="Times New Roman"/>
      <w:sz w:val="20"/>
      <w:szCs w:val="20"/>
      <w:lang w:eastAsia="fr-FR"/>
    </w:rPr>
  </w:style>
  <w:style w:type="paragraph" w:styleId="Titre1">
    <w:name w:val="heading 1"/>
    <w:basedOn w:val="Normal"/>
    <w:next w:val="Normal"/>
    <w:link w:val="Titre1Car"/>
    <w:uiPriority w:val="9"/>
    <w:qFormat/>
    <w:rsid w:val="00B446D0"/>
    <w:pPr>
      <w:keepNext/>
      <w:keepLines/>
      <w:spacing w:before="480" w:line="276" w:lineRule="auto"/>
      <w:jc w:val="both"/>
      <w:outlineLvl w:val="0"/>
    </w:pPr>
    <w:rPr>
      <w:rFonts w:ascii="Cambria" w:hAnsi="Cambria"/>
      <w:b/>
      <w:bCs/>
      <w:color w:val="A8422A"/>
      <w:sz w:val="28"/>
      <w:szCs w:val="28"/>
    </w:rPr>
  </w:style>
  <w:style w:type="paragraph" w:styleId="Titre2">
    <w:name w:val="heading 2"/>
    <w:basedOn w:val="Normal"/>
    <w:next w:val="Normal"/>
    <w:link w:val="Titre2Car"/>
    <w:uiPriority w:val="9"/>
    <w:qFormat/>
    <w:rsid w:val="00B446D0"/>
    <w:pPr>
      <w:keepNext/>
      <w:spacing w:before="240" w:after="60"/>
      <w:outlineLvl w:val="1"/>
    </w:pPr>
    <w:rPr>
      <w:b/>
      <w:i/>
      <w:sz w:val="24"/>
    </w:rPr>
  </w:style>
  <w:style w:type="paragraph" w:styleId="Titre3">
    <w:name w:val="heading 3"/>
    <w:basedOn w:val="Normal"/>
    <w:next w:val="Normal"/>
    <w:link w:val="Titre3Car"/>
    <w:uiPriority w:val="9"/>
    <w:qFormat/>
    <w:rsid w:val="00B446D0"/>
    <w:pPr>
      <w:keepNext/>
      <w:keepLines/>
      <w:spacing w:before="200" w:line="276" w:lineRule="auto"/>
      <w:jc w:val="both"/>
      <w:outlineLvl w:val="2"/>
    </w:pPr>
    <w:rPr>
      <w:rFonts w:ascii="Cambria" w:hAnsi="Cambria"/>
      <w:b/>
      <w:bCs/>
      <w:color w:val="D16349"/>
    </w:rPr>
  </w:style>
  <w:style w:type="paragraph" w:styleId="Titre4">
    <w:name w:val="heading 4"/>
    <w:basedOn w:val="Normal"/>
    <w:next w:val="Normal"/>
    <w:link w:val="Titre4Car"/>
    <w:uiPriority w:val="9"/>
    <w:qFormat/>
    <w:rsid w:val="00B446D0"/>
    <w:pPr>
      <w:keepNext/>
      <w:keepLines/>
      <w:spacing w:before="200" w:line="276" w:lineRule="auto"/>
      <w:jc w:val="both"/>
      <w:outlineLvl w:val="3"/>
    </w:pPr>
    <w:rPr>
      <w:rFonts w:ascii="Cambria" w:hAnsi="Cambria"/>
      <w:b/>
      <w:bCs/>
      <w:i/>
      <w:iCs/>
      <w:color w:val="D16349"/>
    </w:rPr>
  </w:style>
  <w:style w:type="paragraph" w:styleId="Titre5">
    <w:name w:val="heading 5"/>
    <w:basedOn w:val="Normal"/>
    <w:next w:val="Normal"/>
    <w:link w:val="Titre5Car"/>
    <w:uiPriority w:val="9"/>
    <w:qFormat/>
    <w:rsid w:val="00B446D0"/>
    <w:pPr>
      <w:keepNext/>
      <w:keepLines/>
      <w:spacing w:before="200" w:line="276" w:lineRule="auto"/>
      <w:jc w:val="both"/>
      <w:outlineLvl w:val="4"/>
    </w:pPr>
    <w:rPr>
      <w:rFonts w:ascii="Cambria" w:hAnsi="Cambria"/>
      <w:color w:val="6F2C1C"/>
    </w:rPr>
  </w:style>
  <w:style w:type="paragraph" w:styleId="Titre6">
    <w:name w:val="heading 6"/>
    <w:basedOn w:val="Normal"/>
    <w:next w:val="Normal"/>
    <w:link w:val="Titre6Car"/>
    <w:qFormat/>
    <w:rsid w:val="00B446D0"/>
    <w:pPr>
      <w:keepNext/>
      <w:jc w:val="center"/>
      <w:outlineLvl w:val="5"/>
    </w:pPr>
    <w:rPr>
      <w:rFonts w:cs="Arial"/>
      <w:b/>
      <w:bCs/>
      <w:lang w:val="en-US" w:eastAsia="en-US"/>
    </w:rPr>
  </w:style>
  <w:style w:type="paragraph" w:styleId="Titre7">
    <w:name w:val="heading 7"/>
    <w:basedOn w:val="Normal"/>
    <w:next w:val="Normal"/>
    <w:link w:val="Titre7Car"/>
    <w:uiPriority w:val="9"/>
    <w:qFormat/>
    <w:rsid w:val="00B446D0"/>
    <w:pPr>
      <w:keepNext/>
      <w:keepLines/>
      <w:spacing w:before="200" w:line="276" w:lineRule="auto"/>
      <w:jc w:val="both"/>
      <w:outlineLvl w:val="6"/>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B446D0"/>
    <w:rPr>
      <w:rFonts w:ascii="Arial" w:eastAsia="Times New Roman" w:hAnsi="Arial" w:cs="Times New Roman"/>
      <w:b/>
      <w:i/>
      <w:sz w:val="24"/>
      <w:szCs w:val="20"/>
      <w:lang w:eastAsia="fr-FR"/>
    </w:rPr>
  </w:style>
  <w:style w:type="paragraph" w:styleId="Corpsdetexte">
    <w:name w:val="Body Text"/>
    <w:basedOn w:val="Normal"/>
    <w:link w:val="CorpsdetexteCar"/>
    <w:rsid w:val="00B446D0"/>
    <w:pPr>
      <w:spacing w:after="120"/>
    </w:pPr>
  </w:style>
  <w:style w:type="character" w:customStyle="1" w:styleId="CorpsdetexteCar">
    <w:name w:val="Corps de texte Car"/>
    <w:basedOn w:val="Policepardfaut"/>
    <w:link w:val="Corpsdetexte"/>
    <w:rsid w:val="00B446D0"/>
    <w:rPr>
      <w:rFonts w:ascii="Arial" w:eastAsia="Times New Roman" w:hAnsi="Arial" w:cs="Times New Roman"/>
      <w:sz w:val="20"/>
      <w:szCs w:val="20"/>
      <w:lang w:eastAsia="fr-FR"/>
    </w:rPr>
  </w:style>
  <w:style w:type="paragraph" w:styleId="Paragraphedeliste">
    <w:name w:val="List Paragraph"/>
    <w:basedOn w:val="Normal"/>
    <w:uiPriority w:val="34"/>
    <w:qFormat/>
    <w:rsid w:val="00B446D0"/>
    <w:pPr>
      <w:spacing w:after="200" w:line="276" w:lineRule="auto"/>
      <w:ind w:left="720"/>
      <w:contextualSpacing/>
    </w:pPr>
    <w:rPr>
      <w:rFonts w:ascii="Calibri" w:eastAsia="Calibri" w:hAnsi="Calibri"/>
      <w:sz w:val="22"/>
      <w:szCs w:val="22"/>
      <w:lang w:eastAsia="en-US"/>
    </w:rPr>
  </w:style>
  <w:style w:type="character" w:customStyle="1" w:styleId="2H">
    <w:name w:val="2H"/>
    <w:rsid w:val="00B446D0"/>
    <w:rPr>
      <w:b/>
      <w:sz w:val="24"/>
    </w:rPr>
  </w:style>
  <w:style w:type="character" w:customStyle="1" w:styleId="Titre1Car">
    <w:name w:val="Titre 1 Car"/>
    <w:basedOn w:val="Policepardfaut"/>
    <w:link w:val="Titre1"/>
    <w:uiPriority w:val="9"/>
    <w:rsid w:val="00B446D0"/>
    <w:rPr>
      <w:rFonts w:ascii="Cambria" w:eastAsia="Times New Roman" w:hAnsi="Cambria" w:cs="Times New Roman"/>
      <w:b/>
      <w:bCs/>
      <w:color w:val="A8422A"/>
      <w:sz w:val="28"/>
      <w:szCs w:val="28"/>
      <w:lang w:eastAsia="fr-FR"/>
    </w:rPr>
  </w:style>
  <w:style w:type="character" w:customStyle="1" w:styleId="Titre3Car">
    <w:name w:val="Titre 3 Car"/>
    <w:basedOn w:val="Policepardfaut"/>
    <w:link w:val="Titre3"/>
    <w:uiPriority w:val="9"/>
    <w:rsid w:val="00B446D0"/>
    <w:rPr>
      <w:rFonts w:ascii="Cambria" w:eastAsia="Times New Roman" w:hAnsi="Cambria" w:cs="Times New Roman"/>
      <w:b/>
      <w:bCs/>
      <w:color w:val="D16349"/>
      <w:sz w:val="20"/>
      <w:szCs w:val="20"/>
      <w:lang w:eastAsia="fr-FR"/>
    </w:rPr>
  </w:style>
  <w:style w:type="character" w:customStyle="1" w:styleId="Titre4Car">
    <w:name w:val="Titre 4 Car"/>
    <w:basedOn w:val="Policepardfaut"/>
    <w:link w:val="Titre4"/>
    <w:uiPriority w:val="9"/>
    <w:rsid w:val="00B446D0"/>
    <w:rPr>
      <w:rFonts w:ascii="Cambria" w:eastAsia="Times New Roman" w:hAnsi="Cambria" w:cs="Times New Roman"/>
      <w:b/>
      <w:bCs/>
      <w:i/>
      <w:iCs/>
      <w:color w:val="D16349"/>
      <w:sz w:val="20"/>
      <w:szCs w:val="20"/>
      <w:lang w:eastAsia="fr-FR"/>
    </w:rPr>
  </w:style>
  <w:style w:type="character" w:customStyle="1" w:styleId="Titre5Car">
    <w:name w:val="Titre 5 Car"/>
    <w:basedOn w:val="Policepardfaut"/>
    <w:link w:val="Titre5"/>
    <w:uiPriority w:val="9"/>
    <w:rsid w:val="00B446D0"/>
    <w:rPr>
      <w:rFonts w:ascii="Cambria" w:eastAsia="Times New Roman" w:hAnsi="Cambria" w:cs="Times New Roman"/>
      <w:color w:val="6F2C1C"/>
      <w:sz w:val="20"/>
      <w:szCs w:val="20"/>
      <w:lang w:eastAsia="fr-FR"/>
    </w:rPr>
  </w:style>
  <w:style w:type="character" w:customStyle="1" w:styleId="Titre6Car">
    <w:name w:val="Titre 6 Car"/>
    <w:basedOn w:val="Policepardfaut"/>
    <w:link w:val="Titre6"/>
    <w:rsid w:val="00B446D0"/>
    <w:rPr>
      <w:rFonts w:ascii="Arial" w:eastAsia="Times New Roman" w:hAnsi="Arial" w:cs="Arial"/>
      <w:b/>
      <w:bCs/>
      <w:sz w:val="20"/>
      <w:szCs w:val="20"/>
      <w:lang w:val="en-US"/>
    </w:rPr>
  </w:style>
  <w:style w:type="character" w:customStyle="1" w:styleId="Titre7Car">
    <w:name w:val="Titre 7 Car"/>
    <w:basedOn w:val="Policepardfaut"/>
    <w:link w:val="Titre7"/>
    <w:uiPriority w:val="9"/>
    <w:rsid w:val="00B446D0"/>
    <w:rPr>
      <w:rFonts w:ascii="Cambria" w:eastAsia="Times New Roman" w:hAnsi="Cambria" w:cs="Times New Roman"/>
      <w:i/>
      <w:iCs/>
      <w:color w:val="404040"/>
      <w:sz w:val="20"/>
      <w:szCs w:val="20"/>
      <w:lang w:eastAsia="fr-FR"/>
    </w:rPr>
  </w:style>
  <w:style w:type="paragraph" w:customStyle="1" w:styleId="Paragraphedeliste1">
    <w:name w:val="Paragraphe de liste1"/>
    <w:aliases w:val="Bullets"/>
    <w:basedOn w:val="Normal"/>
    <w:link w:val="ListParagraphChar"/>
    <w:uiPriority w:val="34"/>
    <w:qFormat/>
    <w:rsid w:val="00B446D0"/>
    <w:pPr>
      <w:spacing w:after="200" w:line="276" w:lineRule="auto"/>
      <w:ind w:left="720"/>
      <w:contextualSpacing/>
      <w:jc w:val="both"/>
    </w:pPr>
    <w:rPr>
      <w:rFonts w:ascii="Calibri" w:hAnsi="Calibri" w:cs="Courier New"/>
      <w:sz w:val="22"/>
      <w:szCs w:val="22"/>
    </w:rPr>
  </w:style>
  <w:style w:type="character" w:customStyle="1" w:styleId="ListParagraphChar">
    <w:name w:val="List Paragraph Char"/>
    <w:aliases w:val="Bullets Char"/>
    <w:basedOn w:val="Policepardfaut"/>
    <w:link w:val="Paragraphedeliste1"/>
    <w:uiPriority w:val="34"/>
    <w:locked/>
    <w:rsid w:val="00B446D0"/>
    <w:rPr>
      <w:rFonts w:ascii="Calibri" w:eastAsia="Times New Roman" w:hAnsi="Calibri" w:cs="Courier New"/>
      <w:lang w:eastAsia="fr-FR"/>
    </w:rPr>
  </w:style>
  <w:style w:type="paragraph" w:styleId="Notedebasdepage">
    <w:name w:val="footnote text"/>
    <w:aliases w:val="FOOTNOTES,fn,single space,Footnote Text1,Fodnotetekst Tegn,footnote text Char,Fodnotetekst Tegn Char,single space Char,footnote text Char Char Char,Fodnotetekst Tegn Char1,single space Char1,footnote text Char Char1,fn Char1,f"/>
    <w:basedOn w:val="Normal"/>
    <w:link w:val="NotedebasdepageCar1"/>
    <w:qFormat/>
    <w:rsid w:val="00B446D0"/>
    <w:pPr>
      <w:jc w:val="both"/>
    </w:pPr>
    <w:rPr>
      <w:rFonts w:ascii="Times New Roman" w:hAnsi="Times New Roman"/>
    </w:rPr>
  </w:style>
  <w:style w:type="character" w:customStyle="1" w:styleId="NotedebasdepageCar">
    <w:name w:val="Note de bas de page Car"/>
    <w:basedOn w:val="Policepardfaut"/>
    <w:rsid w:val="00B446D0"/>
    <w:rPr>
      <w:rFonts w:ascii="Arial" w:eastAsia="Times New Roman" w:hAnsi="Arial" w:cs="Times New Roman"/>
      <w:sz w:val="20"/>
      <w:szCs w:val="20"/>
      <w:lang w:eastAsia="fr-FR"/>
    </w:rPr>
  </w:style>
  <w:style w:type="character" w:customStyle="1" w:styleId="NotedebasdepageCar1">
    <w:name w:val="Note de bas de page Car1"/>
    <w:aliases w:val="FOOTNOTES Car,fn Car,single space Car,Footnote Text1 Car,Fodnotetekst Tegn Car,footnote text Char Car,Fodnotetekst Tegn Char Car,single space Char Car,footnote text Char Char Char Car,Fodnotetekst Tegn Char1 Car,fn Char1 Car"/>
    <w:link w:val="Notedebasdepage"/>
    <w:rsid w:val="00B446D0"/>
    <w:rPr>
      <w:rFonts w:ascii="Times New Roman" w:eastAsia="Times New Roman" w:hAnsi="Times New Roman" w:cs="Times New Roman"/>
      <w:sz w:val="20"/>
      <w:szCs w:val="20"/>
      <w:lang w:eastAsia="fr-FR"/>
    </w:rPr>
  </w:style>
  <w:style w:type="paragraph" w:customStyle="1" w:styleId="Sansinterligne1">
    <w:name w:val="Sans interligne1"/>
    <w:link w:val="NoSpacingChar"/>
    <w:uiPriority w:val="1"/>
    <w:qFormat/>
    <w:rsid w:val="00B446D0"/>
    <w:pPr>
      <w:spacing w:after="0" w:line="240" w:lineRule="auto"/>
    </w:pPr>
    <w:rPr>
      <w:rFonts w:ascii="Calibri" w:eastAsia="Times New Roman" w:hAnsi="Calibri" w:cs="Courier New"/>
      <w:lang w:eastAsia="fr-FR"/>
    </w:rPr>
  </w:style>
  <w:style w:type="character" w:customStyle="1" w:styleId="NoSpacingChar">
    <w:name w:val="No Spacing Char"/>
    <w:basedOn w:val="Policepardfaut"/>
    <w:link w:val="Sansinterligne1"/>
    <w:uiPriority w:val="1"/>
    <w:rsid w:val="00B446D0"/>
    <w:rPr>
      <w:rFonts w:ascii="Calibri" w:eastAsia="Times New Roman" w:hAnsi="Calibri" w:cs="Courier New"/>
      <w:lang w:eastAsia="fr-FR"/>
    </w:rPr>
  </w:style>
  <w:style w:type="paragraph" w:styleId="Textedebulles">
    <w:name w:val="Balloon Text"/>
    <w:basedOn w:val="Normal"/>
    <w:link w:val="TextedebullesCar"/>
    <w:uiPriority w:val="99"/>
    <w:semiHidden/>
    <w:unhideWhenUsed/>
    <w:rsid w:val="00B446D0"/>
    <w:pPr>
      <w:jc w:val="both"/>
    </w:pPr>
    <w:rPr>
      <w:rFonts w:ascii="Tahoma" w:hAnsi="Tahoma"/>
      <w:sz w:val="16"/>
      <w:szCs w:val="16"/>
    </w:rPr>
  </w:style>
  <w:style w:type="character" w:customStyle="1" w:styleId="TextedebullesCar">
    <w:name w:val="Texte de bulles Car"/>
    <w:basedOn w:val="Policepardfaut"/>
    <w:link w:val="Textedebulles"/>
    <w:uiPriority w:val="99"/>
    <w:semiHidden/>
    <w:rsid w:val="00B446D0"/>
    <w:rPr>
      <w:rFonts w:ascii="Tahoma" w:eastAsia="Times New Roman" w:hAnsi="Tahoma" w:cs="Times New Roman"/>
      <w:sz w:val="16"/>
      <w:szCs w:val="16"/>
      <w:lang w:eastAsia="fr-FR"/>
    </w:rPr>
  </w:style>
  <w:style w:type="character" w:styleId="Appelnotedebasdep">
    <w:name w:val="footnote reference"/>
    <w:aliases w:val="ftref,16 Point,Superscript 6 Point,Car Car Char Car Char Car Car Char Car Char Char,Car Car Car Car Car Car Car Car Char Car Car Char Car Car Car Char Car Char Char Char,BVI fnr,Ref,de nota al pie,note de bas de page,Times 10 Poi"/>
    <w:uiPriority w:val="99"/>
    <w:unhideWhenUsed/>
    <w:rsid w:val="00B446D0"/>
    <w:rPr>
      <w:vertAlign w:val="superscript"/>
    </w:rPr>
  </w:style>
  <w:style w:type="paragraph" w:customStyle="1" w:styleId="Retrait1">
    <w:name w:val="Retrait 1"/>
    <w:basedOn w:val="Normal"/>
    <w:semiHidden/>
    <w:rsid w:val="00B446D0"/>
    <w:pPr>
      <w:keepLines/>
      <w:tabs>
        <w:tab w:val="num" w:pos="1320"/>
      </w:tabs>
      <w:spacing w:before="60"/>
      <w:ind w:left="709" w:hanging="283"/>
      <w:jc w:val="both"/>
    </w:pPr>
    <w:rPr>
      <w:rFonts w:ascii="Times New Roman" w:hAnsi="Times New Roman"/>
      <w:noProof/>
      <w:color w:val="000000"/>
      <w:sz w:val="24"/>
      <w:szCs w:val="22"/>
    </w:rPr>
  </w:style>
  <w:style w:type="character" w:styleId="Lienhypertexte">
    <w:name w:val="Hyperlink"/>
    <w:uiPriority w:val="99"/>
    <w:unhideWhenUsed/>
    <w:rsid w:val="00B446D0"/>
    <w:rPr>
      <w:color w:val="00A3D6"/>
      <w:u w:val="single"/>
    </w:rPr>
  </w:style>
  <w:style w:type="table" w:styleId="Grilledutableau">
    <w:name w:val="Table Grid"/>
    <w:basedOn w:val="TableauNormal"/>
    <w:uiPriority w:val="59"/>
    <w:rsid w:val="00B446D0"/>
    <w:pPr>
      <w:spacing w:after="0" w:line="240" w:lineRule="auto"/>
    </w:pPr>
    <w:rPr>
      <w:rFonts w:ascii="Calibri" w:eastAsia="Times New Roman" w:hAnsi="Calibri" w:cs="Courier New"/>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B446D0"/>
    <w:pPr>
      <w:pBdr>
        <w:bottom w:val="single" w:sz="8" w:space="4" w:color="D16349"/>
      </w:pBdr>
      <w:spacing w:after="300"/>
      <w:contextualSpacing/>
      <w:jc w:val="both"/>
    </w:pPr>
    <w:rPr>
      <w:rFonts w:ascii="Cambria" w:hAnsi="Cambria"/>
      <w:color w:val="4A4F64"/>
      <w:spacing w:val="5"/>
      <w:kern w:val="28"/>
      <w:sz w:val="52"/>
      <w:szCs w:val="52"/>
    </w:rPr>
  </w:style>
  <w:style w:type="character" w:customStyle="1" w:styleId="TitreCar">
    <w:name w:val="Titre Car"/>
    <w:basedOn w:val="Policepardfaut"/>
    <w:link w:val="Titre"/>
    <w:uiPriority w:val="10"/>
    <w:rsid w:val="00B446D0"/>
    <w:rPr>
      <w:rFonts w:ascii="Cambria" w:eastAsia="Times New Roman" w:hAnsi="Cambria" w:cs="Times New Roman"/>
      <w:color w:val="4A4F64"/>
      <w:spacing w:val="5"/>
      <w:kern w:val="28"/>
      <w:sz w:val="52"/>
      <w:szCs w:val="52"/>
      <w:lang w:eastAsia="fr-FR"/>
    </w:rPr>
  </w:style>
  <w:style w:type="paragraph" w:styleId="En-tte">
    <w:name w:val="header"/>
    <w:basedOn w:val="Normal"/>
    <w:link w:val="En-tteCar"/>
    <w:uiPriority w:val="99"/>
    <w:unhideWhenUsed/>
    <w:rsid w:val="00B446D0"/>
    <w:pPr>
      <w:tabs>
        <w:tab w:val="center" w:pos="4536"/>
        <w:tab w:val="right" w:pos="9072"/>
      </w:tabs>
      <w:jc w:val="both"/>
    </w:pPr>
    <w:rPr>
      <w:rFonts w:ascii="Calibri" w:hAnsi="Calibri" w:cs="Courier New"/>
      <w:sz w:val="22"/>
      <w:szCs w:val="22"/>
    </w:rPr>
  </w:style>
  <w:style w:type="character" w:customStyle="1" w:styleId="En-tteCar">
    <w:name w:val="En-tête Car"/>
    <w:basedOn w:val="Policepardfaut"/>
    <w:link w:val="En-tte"/>
    <w:uiPriority w:val="99"/>
    <w:rsid w:val="00B446D0"/>
    <w:rPr>
      <w:rFonts w:ascii="Calibri" w:eastAsia="Times New Roman" w:hAnsi="Calibri" w:cs="Courier New"/>
      <w:lang w:eastAsia="fr-FR"/>
    </w:rPr>
  </w:style>
  <w:style w:type="paragraph" w:styleId="Pieddepage">
    <w:name w:val="footer"/>
    <w:basedOn w:val="Normal"/>
    <w:link w:val="PieddepageCar"/>
    <w:uiPriority w:val="99"/>
    <w:unhideWhenUsed/>
    <w:rsid w:val="00B446D0"/>
    <w:pPr>
      <w:tabs>
        <w:tab w:val="center" w:pos="4536"/>
        <w:tab w:val="right" w:pos="9072"/>
      </w:tabs>
      <w:jc w:val="both"/>
    </w:pPr>
    <w:rPr>
      <w:rFonts w:ascii="Calibri" w:hAnsi="Calibri" w:cs="Courier New"/>
      <w:sz w:val="22"/>
      <w:szCs w:val="22"/>
    </w:rPr>
  </w:style>
  <w:style w:type="character" w:customStyle="1" w:styleId="PieddepageCar">
    <w:name w:val="Pied de page Car"/>
    <w:basedOn w:val="Policepardfaut"/>
    <w:link w:val="Pieddepage"/>
    <w:uiPriority w:val="99"/>
    <w:rsid w:val="00B446D0"/>
    <w:rPr>
      <w:rFonts w:ascii="Calibri" w:eastAsia="Times New Roman" w:hAnsi="Calibri" w:cs="Courier New"/>
      <w:lang w:eastAsia="fr-FR"/>
    </w:rPr>
  </w:style>
  <w:style w:type="paragraph" w:customStyle="1" w:styleId="RESENtitre3">
    <w:name w:val="RESEN titre3"/>
    <w:basedOn w:val="Titre7"/>
    <w:autoRedefine/>
    <w:uiPriority w:val="99"/>
    <w:rsid w:val="00B446D0"/>
    <w:pPr>
      <w:keepLines w:val="0"/>
      <w:spacing w:before="0"/>
    </w:pPr>
    <w:rPr>
      <w:rFonts w:ascii="Times New Roman" w:hAnsi="Times New Roman"/>
      <w:bCs/>
      <w:i w:val="0"/>
      <w:iCs w:val="0"/>
      <w:color w:val="auto"/>
      <w:u w:val="single"/>
    </w:rPr>
  </w:style>
  <w:style w:type="table" w:customStyle="1" w:styleId="LightShading-Accent2">
    <w:name w:val="Light Shading - Accent 2"/>
    <w:basedOn w:val="TableauNormal"/>
    <w:uiPriority w:val="60"/>
    <w:rsid w:val="00B446D0"/>
    <w:pPr>
      <w:spacing w:after="0" w:line="240" w:lineRule="auto"/>
    </w:pPr>
    <w:rPr>
      <w:rFonts w:ascii="Calibri" w:eastAsia="Times New Roman" w:hAnsi="Calibri" w:cs="Courier New"/>
      <w:color w:val="988600"/>
      <w:sz w:val="20"/>
      <w:szCs w:val="20"/>
      <w:lang w:eastAsia="fr-FR"/>
    </w:rPr>
    <w:tblPr>
      <w:tblStyleRowBandSize w:val="1"/>
      <w:tblStyleColBandSize w:val="1"/>
      <w:tblBorders>
        <w:top w:val="single" w:sz="8" w:space="0" w:color="CCB400"/>
        <w:bottom w:val="single" w:sz="8" w:space="0" w:color="CCB400"/>
      </w:tblBorders>
    </w:tblPr>
    <w:tblStylePr w:type="firstRow">
      <w:pPr>
        <w:spacing w:before="0" w:after="0" w:line="240" w:lineRule="auto"/>
      </w:pPr>
      <w:rPr>
        <w:b/>
        <w:bCs/>
      </w:rPr>
      <w:tblPr/>
      <w:tcPr>
        <w:tcBorders>
          <w:top w:val="single" w:sz="8" w:space="0" w:color="CCB400"/>
          <w:left w:val="nil"/>
          <w:bottom w:val="single" w:sz="8" w:space="0" w:color="CCB400"/>
          <w:right w:val="nil"/>
          <w:insideH w:val="nil"/>
          <w:insideV w:val="nil"/>
        </w:tcBorders>
      </w:tcPr>
    </w:tblStylePr>
    <w:tblStylePr w:type="lastRow">
      <w:pPr>
        <w:spacing w:before="0" w:after="0" w:line="240" w:lineRule="auto"/>
      </w:pPr>
      <w:rPr>
        <w:b/>
        <w:bCs/>
      </w:rPr>
      <w:tblPr/>
      <w:tcPr>
        <w:tcBorders>
          <w:top w:val="single" w:sz="8" w:space="0" w:color="CCB400"/>
          <w:left w:val="nil"/>
          <w:bottom w:val="single" w:sz="8" w:space="0" w:color="CCB4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6B3"/>
      </w:tcPr>
    </w:tblStylePr>
    <w:tblStylePr w:type="band1Horz">
      <w:tblPr/>
      <w:tcPr>
        <w:tcBorders>
          <w:left w:val="nil"/>
          <w:right w:val="nil"/>
          <w:insideH w:val="nil"/>
          <w:insideV w:val="nil"/>
        </w:tcBorders>
        <w:shd w:val="clear" w:color="auto" w:fill="FFF6B3"/>
      </w:tcPr>
    </w:tblStylePr>
  </w:style>
  <w:style w:type="paragraph" w:customStyle="1" w:styleId="Default">
    <w:name w:val="Default"/>
    <w:rsid w:val="00B446D0"/>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Outline">
    <w:name w:val="Outline"/>
    <w:basedOn w:val="Normal"/>
    <w:rsid w:val="00B446D0"/>
    <w:pPr>
      <w:spacing w:before="240"/>
      <w:jc w:val="both"/>
    </w:pPr>
    <w:rPr>
      <w:rFonts w:ascii="Times New Roman" w:hAnsi="Times New Roman"/>
      <w:kern w:val="28"/>
      <w:sz w:val="24"/>
      <w:szCs w:val="24"/>
      <w:lang w:val="en-US"/>
    </w:rPr>
  </w:style>
  <w:style w:type="paragraph" w:customStyle="1" w:styleId="Niveau2">
    <w:name w:val="Niveau 2"/>
    <w:basedOn w:val="Normal"/>
    <w:qFormat/>
    <w:rsid w:val="00B446D0"/>
    <w:pPr>
      <w:tabs>
        <w:tab w:val="left" w:pos="426"/>
      </w:tabs>
      <w:spacing w:after="200" w:line="276" w:lineRule="auto"/>
      <w:ind w:firstLine="284"/>
      <w:jc w:val="both"/>
    </w:pPr>
    <w:rPr>
      <w:rFonts w:ascii="Calibri" w:hAnsi="Calibri" w:cs="Courier New"/>
      <w:b/>
      <w:sz w:val="24"/>
      <w:szCs w:val="28"/>
    </w:rPr>
  </w:style>
  <w:style w:type="table" w:customStyle="1" w:styleId="TableGrid10">
    <w:name w:val="Table Grid10"/>
    <w:basedOn w:val="TableauNormal"/>
    <w:next w:val="Grilledutableau"/>
    <w:rsid w:val="00B446D0"/>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B446D0"/>
    <w:rPr>
      <w:sz w:val="16"/>
      <w:szCs w:val="16"/>
    </w:rPr>
  </w:style>
  <w:style w:type="paragraph" w:styleId="Commentaire">
    <w:name w:val="annotation text"/>
    <w:basedOn w:val="Normal"/>
    <w:link w:val="CommentaireCar"/>
    <w:uiPriority w:val="99"/>
    <w:semiHidden/>
    <w:unhideWhenUsed/>
    <w:rsid w:val="00B446D0"/>
    <w:pPr>
      <w:spacing w:after="200"/>
      <w:jc w:val="both"/>
    </w:pPr>
    <w:rPr>
      <w:rFonts w:ascii="Calibri" w:hAnsi="Calibri"/>
    </w:rPr>
  </w:style>
  <w:style w:type="character" w:customStyle="1" w:styleId="CommentaireCar">
    <w:name w:val="Commentaire Car"/>
    <w:basedOn w:val="Policepardfaut"/>
    <w:link w:val="Commentaire"/>
    <w:uiPriority w:val="99"/>
    <w:semiHidden/>
    <w:rsid w:val="00B446D0"/>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446D0"/>
    <w:rPr>
      <w:b/>
      <w:bCs/>
    </w:rPr>
  </w:style>
  <w:style w:type="character" w:customStyle="1" w:styleId="ObjetducommentaireCar">
    <w:name w:val="Objet du commentaire Car"/>
    <w:basedOn w:val="CommentaireCar"/>
    <w:link w:val="Objetducommentaire"/>
    <w:uiPriority w:val="99"/>
    <w:semiHidden/>
    <w:rsid w:val="00B446D0"/>
    <w:rPr>
      <w:rFonts w:ascii="Calibri" w:eastAsia="Times New Roman" w:hAnsi="Calibri" w:cs="Times New Roman"/>
      <w:b/>
      <w:bCs/>
      <w:sz w:val="20"/>
      <w:szCs w:val="20"/>
      <w:lang w:eastAsia="fr-FR"/>
    </w:rPr>
  </w:style>
  <w:style w:type="paragraph" w:customStyle="1" w:styleId="Rvision1">
    <w:name w:val="Révision1"/>
    <w:hidden/>
    <w:uiPriority w:val="99"/>
    <w:semiHidden/>
    <w:rsid w:val="00B446D0"/>
    <w:pPr>
      <w:spacing w:after="0" w:line="240" w:lineRule="auto"/>
    </w:pPr>
    <w:rPr>
      <w:rFonts w:ascii="Calibri" w:eastAsia="Times New Roman" w:hAnsi="Calibri" w:cs="Courier New"/>
      <w:lang w:eastAsia="fr-FR"/>
    </w:rPr>
  </w:style>
  <w:style w:type="paragraph" w:styleId="TM1">
    <w:name w:val="toc 1"/>
    <w:basedOn w:val="Normal"/>
    <w:next w:val="Normal"/>
    <w:autoRedefine/>
    <w:uiPriority w:val="39"/>
    <w:unhideWhenUsed/>
    <w:rsid w:val="00B446D0"/>
    <w:pPr>
      <w:spacing w:after="100" w:line="276" w:lineRule="auto"/>
      <w:jc w:val="both"/>
    </w:pPr>
    <w:rPr>
      <w:rFonts w:ascii="Calibri" w:hAnsi="Calibri" w:cs="Courier New"/>
      <w:sz w:val="22"/>
      <w:szCs w:val="22"/>
    </w:rPr>
  </w:style>
  <w:style w:type="paragraph" w:styleId="TM2">
    <w:name w:val="toc 2"/>
    <w:basedOn w:val="Normal"/>
    <w:next w:val="Normal"/>
    <w:autoRedefine/>
    <w:uiPriority w:val="39"/>
    <w:unhideWhenUsed/>
    <w:rsid w:val="00B446D0"/>
    <w:pPr>
      <w:spacing w:after="100" w:line="276" w:lineRule="auto"/>
      <w:ind w:left="220"/>
      <w:jc w:val="both"/>
    </w:pPr>
    <w:rPr>
      <w:rFonts w:ascii="Calibri" w:hAnsi="Calibri" w:cs="Courier New"/>
      <w:sz w:val="22"/>
      <w:szCs w:val="22"/>
    </w:rPr>
  </w:style>
  <w:style w:type="paragraph" w:styleId="TM3">
    <w:name w:val="toc 3"/>
    <w:basedOn w:val="Normal"/>
    <w:next w:val="Normal"/>
    <w:autoRedefine/>
    <w:uiPriority w:val="39"/>
    <w:unhideWhenUsed/>
    <w:rsid w:val="00B446D0"/>
    <w:pPr>
      <w:spacing w:after="100" w:line="276" w:lineRule="auto"/>
      <w:ind w:left="440"/>
      <w:jc w:val="both"/>
    </w:pPr>
    <w:rPr>
      <w:rFonts w:ascii="Calibri" w:hAnsi="Calibri" w:cs="Courier New"/>
      <w:sz w:val="22"/>
      <w:szCs w:val="22"/>
    </w:rPr>
  </w:style>
  <w:style w:type="paragraph" w:styleId="TM4">
    <w:name w:val="toc 4"/>
    <w:basedOn w:val="Normal"/>
    <w:next w:val="Normal"/>
    <w:autoRedefine/>
    <w:uiPriority w:val="39"/>
    <w:unhideWhenUsed/>
    <w:rsid w:val="00B446D0"/>
    <w:pPr>
      <w:spacing w:after="100" w:line="276" w:lineRule="auto"/>
      <w:ind w:left="660"/>
      <w:jc w:val="both"/>
    </w:pPr>
    <w:rPr>
      <w:rFonts w:ascii="Calibri" w:hAnsi="Calibri" w:cs="Courier New"/>
      <w:sz w:val="22"/>
      <w:szCs w:val="22"/>
    </w:rPr>
  </w:style>
  <w:style w:type="paragraph" w:styleId="TM5">
    <w:name w:val="toc 5"/>
    <w:basedOn w:val="Normal"/>
    <w:next w:val="Normal"/>
    <w:autoRedefine/>
    <w:uiPriority w:val="39"/>
    <w:unhideWhenUsed/>
    <w:rsid w:val="00B446D0"/>
    <w:pPr>
      <w:spacing w:after="100" w:line="276" w:lineRule="auto"/>
      <w:ind w:left="880"/>
      <w:jc w:val="both"/>
    </w:pPr>
    <w:rPr>
      <w:rFonts w:ascii="Calibri" w:hAnsi="Calibri" w:cs="Courier New"/>
      <w:sz w:val="22"/>
      <w:szCs w:val="22"/>
    </w:rPr>
  </w:style>
  <w:style w:type="character" w:customStyle="1" w:styleId="aexposant">
    <w:name w:val="aexposant"/>
    <w:rsid w:val="00B446D0"/>
    <w:rPr>
      <w:noProof w:val="0"/>
      <w:vertAlign w:val="superscript"/>
      <w:lang w:val="fr-FR"/>
    </w:rPr>
  </w:style>
  <w:style w:type="character" w:customStyle="1" w:styleId="aMiseenvaleurG">
    <w:name w:val="aMise en valeur G"/>
    <w:rsid w:val="00B446D0"/>
    <w:rPr>
      <w:b/>
      <w:color w:val="FF00FF"/>
    </w:rPr>
  </w:style>
  <w:style w:type="paragraph" w:customStyle="1" w:styleId="BiblioTexte">
    <w:name w:val="Biblio_Texte"/>
    <w:basedOn w:val="Normal"/>
    <w:autoRedefine/>
    <w:qFormat/>
    <w:rsid w:val="00B446D0"/>
    <w:pPr>
      <w:widowControl w:val="0"/>
      <w:spacing w:line="360" w:lineRule="auto"/>
    </w:pPr>
  </w:style>
  <w:style w:type="character" w:customStyle="1" w:styleId="00MiseenvaleurSymbol">
    <w:name w:val="00_Mise en valeur Symbol"/>
    <w:rsid w:val="00B446D0"/>
    <w:rPr>
      <w:color w:val="auto"/>
    </w:rPr>
  </w:style>
  <w:style w:type="character" w:customStyle="1" w:styleId="NotedefinCar">
    <w:name w:val="Note de fin Car"/>
    <w:link w:val="Notedefin"/>
    <w:semiHidden/>
    <w:locked/>
    <w:rsid w:val="00B446D0"/>
    <w:rPr>
      <w:sz w:val="24"/>
      <w:szCs w:val="24"/>
      <w:lang w:bidi="he-IL"/>
    </w:rPr>
  </w:style>
  <w:style w:type="paragraph" w:styleId="Notedefin">
    <w:name w:val="endnote text"/>
    <w:basedOn w:val="Normal"/>
    <w:link w:val="NotedefinCar"/>
    <w:autoRedefine/>
    <w:semiHidden/>
    <w:rsid w:val="00B446D0"/>
    <w:pPr>
      <w:jc w:val="both"/>
    </w:pPr>
    <w:rPr>
      <w:rFonts w:asciiTheme="minorHAnsi" w:eastAsiaTheme="minorHAnsi" w:hAnsiTheme="minorHAnsi" w:cstheme="minorBidi"/>
      <w:sz w:val="24"/>
      <w:szCs w:val="24"/>
      <w:lang w:eastAsia="en-US" w:bidi="he-IL"/>
    </w:rPr>
  </w:style>
  <w:style w:type="character" w:customStyle="1" w:styleId="NotedefinCar1">
    <w:name w:val="Note de fin Car1"/>
    <w:basedOn w:val="Policepardfaut"/>
    <w:uiPriority w:val="99"/>
    <w:semiHidden/>
    <w:rsid w:val="00B446D0"/>
    <w:rPr>
      <w:rFonts w:ascii="Arial" w:eastAsia="Times New Roman" w:hAnsi="Arial" w:cs="Times New Roman"/>
      <w:sz w:val="20"/>
      <w:szCs w:val="20"/>
      <w:lang w:eastAsia="fr-FR"/>
    </w:rPr>
  </w:style>
  <w:style w:type="character" w:styleId="Appeldenotedefin">
    <w:name w:val="endnote reference"/>
    <w:semiHidden/>
    <w:rsid w:val="00B446D0"/>
    <w:rPr>
      <w:vertAlign w:val="superscript"/>
    </w:rPr>
  </w:style>
  <w:style w:type="character" w:customStyle="1" w:styleId="CarCar28">
    <w:name w:val="Car Car28"/>
    <w:semiHidden/>
    <w:locked/>
    <w:rsid w:val="00B446D0"/>
    <w:rPr>
      <w:sz w:val="24"/>
      <w:szCs w:val="24"/>
    </w:rPr>
  </w:style>
  <w:style w:type="character" w:customStyle="1" w:styleId="Heading5Char">
    <w:name w:val="Heading 5 Char"/>
    <w:semiHidden/>
    <w:locked/>
    <w:rsid w:val="00B446D0"/>
    <w:rPr>
      <w:rFonts w:ascii="Calibri" w:hAnsi="Calibri" w:cs="Arial"/>
      <w:b/>
      <w:bCs/>
      <w:i/>
      <w:iCs/>
      <w:sz w:val="26"/>
      <w:szCs w:val="26"/>
      <w:lang w:val="en-US" w:eastAsia="en-US" w:bidi="ar-SA"/>
    </w:rPr>
  </w:style>
  <w:style w:type="paragraph" w:customStyle="1" w:styleId="xl29">
    <w:name w:val="xl29"/>
    <w:basedOn w:val="Normal"/>
    <w:rsid w:val="00B446D0"/>
    <w:pPr>
      <w:pBdr>
        <w:bottom w:val="single" w:sz="12" w:space="0" w:color="auto"/>
      </w:pBdr>
      <w:spacing w:before="100" w:beforeAutospacing="1" w:after="100" w:afterAutospacing="1"/>
      <w:jc w:val="right"/>
      <w:textAlignment w:val="top"/>
    </w:pPr>
    <w:rPr>
      <w:rFonts w:cs="Courier New"/>
      <w:sz w:val="24"/>
      <w:szCs w:val="24"/>
      <w:lang w:val="en-US" w:eastAsia="en-US"/>
    </w:rPr>
  </w:style>
  <w:style w:type="paragraph" w:styleId="Corpsdetexte2">
    <w:name w:val="Body Text 2"/>
    <w:basedOn w:val="Normal"/>
    <w:link w:val="Corpsdetexte2Car"/>
    <w:rsid w:val="00B446D0"/>
    <w:pPr>
      <w:autoSpaceDE w:val="0"/>
      <w:autoSpaceDN w:val="0"/>
      <w:adjustRightInd w:val="0"/>
      <w:jc w:val="center"/>
    </w:pPr>
    <w:rPr>
      <w:rFonts w:cs="Arial"/>
      <w:lang w:val="en-US" w:eastAsia="en-US"/>
    </w:rPr>
  </w:style>
  <w:style w:type="character" w:customStyle="1" w:styleId="Corpsdetexte2Car">
    <w:name w:val="Corps de texte 2 Car"/>
    <w:basedOn w:val="Policepardfaut"/>
    <w:link w:val="Corpsdetexte2"/>
    <w:rsid w:val="00B446D0"/>
    <w:rPr>
      <w:rFonts w:ascii="Arial" w:eastAsia="Times New Roman" w:hAnsi="Arial" w:cs="Arial"/>
      <w:sz w:val="20"/>
      <w:szCs w:val="20"/>
      <w:lang w:val="en-US"/>
    </w:rPr>
  </w:style>
  <w:style w:type="paragraph" w:styleId="Textebrut">
    <w:name w:val="Plain Text"/>
    <w:basedOn w:val="Normal"/>
    <w:link w:val="TextebrutCar"/>
    <w:rsid w:val="00B446D0"/>
    <w:rPr>
      <w:rFonts w:ascii="Courier New" w:hAnsi="Courier New" w:cs="Courier New"/>
      <w:lang w:val="en-GB" w:eastAsia="en-US"/>
    </w:rPr>
  </w:style>
  <w:style w:type="character" w:customStyle="1" w:styleId="TextebrutCar">
    <w:name w:val="Texte brut Car"/>
    <w:basedOn w:val="Policepardfaut"/>
    <w:link w:val="Textebrut"/>
    <w:rsid w:val="00B446D0"/>
    <w:rPr>
      <w:rFonts w:ascii="Courier New" w:eastAsia="Times New Roman" w:hAnsi="Courier New" w:cs="Courier New"/>
      <w:sz w:val="20"/>
      <w:szCs w:val="20"/>
      <w:lang w:val="en-GB"/>
    </w:rPr>
  </w:style>
  <w:style w:type="character" w:customStyle="1" w:styleId="1H">
    <w:name w:val="1H"/>
    <w:rsid w:val="00B446D0"/>
    <w:rPr>
      <w:b/>
      <w:sz w:val="28"/>
    </w:rPr>
  </w:style>
  <w:style w:type="paragraph" w:styleId="Retraitcorpsdetexte2">
    <w:name w:val="Body Text Indent 2"/>
    <w:basedOn w:val="Normal"/>
    <w:link w:val="Retraitcorpsdetexte2Car"/>
    <w:rsid w:val="00B446D0"/>
    <w:pPr>
      <w:spacing w:after="120" w:line="480" w:lineRule="auto"/>
      <w:ind w:left="360"/>
    </w:pPr>
    <w:rPr>
      <w:rFonts w:ascii="Calibri" w:hAnsi="Calibri" w:cs="Courier New"/>
      <w:sz w:val="22"/>
      <w:lang w:val="en-US" w:eastAsia="en-US"/>
    </w:rPr>
  </w:style>
  <w:style w:type="character" w:customStyle="1" w:styleId="Retraitcorpsdetexte2Car">
    <w:name w:val="Retrait corps de texte 2 Car"/>
    <w:basedOn w:val="Policepardfaut"/>
    <w:link w:val="Retraitcorpsdetexte2"/>
    <w:rsid w:val="00B446D0"/>
    <w:rPr>
      <w:rFonts w:ascii="Calibri" w:eastAsia="Times New Roman" w:hAnsi="Calibri" w:cs="Courier New"/>
      <w:szCs w:val="20"/>
      <w:lang w:val="en-US"/>
    </w:rPr>
  </w:style>
  <w:style w:type="character" w:customStyle="1" w:styleId="hps">
    <w:name w:val="hps"/>
    <w:rsid w:val="00B446D0"/>
  </w:style>
  <w:style w:type="paragraph" w:customStyle="1" w:styleId="Rsumparagraph">
    <w:name w:val="Résumé_paragraph"/>
    <w:rsid w:val="00B446D0"/>
    <w:pPr>
      <w:spacing w:after="160" w:line="264" w:lineRule="auto"/>
      <w:jc w:val="both"/>
    </w:pPr>
    <w:rPr>
      <w:rFonts w:ascii="Calibri" w:eastAsia="Times New Roman" w:hAnsi="Calibri" w:cs="Courier New"/>
    </w:rPr>
  </w:style>
  <w:style w:type="character" w:styleId="Numrodepage">
    <w:name w:val="page number"/>
    <w:rsid w:val="00B446D0"/>
    <w:rPr>
      <w:rFonts w:cs="Times New Roman"/>
    </w:rPr>
  </w:style>
  <w:style w:type="character" w:customStyle="1" w:styleId="Heading1Char">
    <w:name w:val="Heading 1 Char"/>
    <w:locked/>
    <w:rsid w:val="00B446D0"/>
    <w:rPr>
      <w:rFonts w:ascii="Arial" w:hAnsi="Arial" w:cs="Times New Roman"/>
      <w:b/>
      <w:kern w:val="32"/>
      <w:sz w:val="32"/>
      <w:lang w:val="en-US"/>
    </w:rPr>
  </w:style>
  <w:style w:type="character" w:customStyle="1" w:styleId="Heading2Char">
    <w:name w:val="Heading 2 Char"/>
    <w:locked/>
    <w:rsid w:val="00B446D0"/>
    <w:rPr>
      <w:rFonts w:ascii="Arial" w:hAnsi="Arial" w:cs="Times New Roman"/>
      <w:b/>
      <w:i/>
      <w:sz w:val="28"/>
      <w:lang w:val="en-US"/>
    </w:rPr>
  </w:style>
  <w:style w:type="character" w:customStyle="1" w:styleId="FootnoteTextChar">
    <w:name w:val="Footnote Text Char"/>
    <w:semiHidden/>
    <w:locked/>
    <w:rsid w:val="00B446D0"/>
    <w:rPr>
      <w:rFonts w:ascii="Times New Roman" w:hAnsi="Times New Roman" w:cs="Times New Roman"/>
      <w:sz w:val="20"/>
      <w:lang w:val="en-US"/>
    </w:rPr>
  </w:style>
  <w:style w:type="paragraph" w:customStyle="1" w:styleId="Graphique">
    <w:name w:val="Graphique"/>
    <w:basedOn w:val="Normal"/>
    <w:rsid w:val="00B446D0"/>
    <w:pPr>
      <w:spacing w:line="276" w:lineRule="auto"/>
      <w:jc w:val="both"/>
    </w:pPr>
    <w:rPr>
      <w:rFonts w:ascii="Times New Roman" w:eastAsia="Calibri" w:hAnsi="Times New Roman"/>
      <w:sz w:val="22"/>
      <w:szCs w:val="24"/>
    </w:rPr>
  </w:style>
  <w:style w:type="paragraph" w:customStyle="1" w:styleId="GraphiqtablEMICoV2011">
    <w:name w:val="Graphiq&amp;tabl EMICoV 2011"/>
    <w:basedOn w:val="Normal"/>
    <w:rsid w:val="00B446D0"/>
    <w:pPr>
      <w:spacing w:line="276" w:lineRule="auto"/>
      <w:jc w:val="both"/>
    </w:pPr>
    <w:rPr>
      <w:rFonts w:ascii="Times New Roman" w:eastAsia="Calibri" w:hAnsi="Times New Roman"/>
      <w:sz w:val="22"/>
      <w:szCs w:val="26"/>
    </w:rPr>
  </w:style>
  <w:style w:type="paragraph" w:customStyle="1" w:styleId="TitreEMICoV2011">
    <w:name w:val="Titre EMICoV 2011"/>
    <w:basedOn w:val="Normal"/>
    <w:rsid w:val="00B446D0"/>
    <w:pPr>
      <w:spacing w:line="276" w:lineRule="auto"/>
      <w:jc w:val="both"/>
    </w:pPr>
    <w:rPr>
      <w:rFonts w:ascii="Times New Roman" w:eastAsia="Calibri" w:hAnsi="Times New Roman"/>
      <w:b/>
      <w:sz w:val="26"/>
      <w:szCs w:val="26"/>
    </w:rPr>
  </w:style>
  <w:style w:type="character" w:customStyle="1" w:styleId="TitleChar">
    <w:name w:val="Title Char"/>
    <w:locked/>
    <w:rsid w:val="00B446D0"/>
    <w:rPr>
      <w:rFonts w:ascii="Arial" w:hAnsi="Arial" w:cs="Times New Roman"/>
      <w:sz w:val="20"/>
    </w:rPr>
  </w:style>
  <w:style w:type="paragraph" w:styleId="NormalWeb">
    <w:name w:val="Normal (Web)"/>
    <w:basedOn w:val="Normal"/>
    <w:uiPriority w:val="99"/>
    <w:rsid w:val="00B446D0"/>
    <w:pPr>
      <w:spacing w:before="100" w:beforeAutospacing="1" w:after="100" w:afterAutospacing="1"/>
    </w:pPr>
    <w:rPr>
      <w:rFonts w:ascii="Times New Roman" w:eastAsia="Calibri" w:hAnsi="Times New Roman"/>
      <w:sz w:val="24"/>
      <w:szCs w:val="24"/>
      <w:lang w:val="en-US" w:eastAsia="en-US"/>
    </w:rPr>
  </w:style>
  <w:style w:type="paragraph" w:customStyle="1" w:styleId="font5">
    <w:name w:val="font5"/>
    <w:basedOn w:val="Normal"/>
    <w:rsid w:val="00B446D0"/>
    <w:pPr>
      <w:spacing w:before="100" w:beforeAutospacing="1" w:after="100" w:afterAutospacing="1"/>
    </w:pPr>
    <w:rPr>
      <w:rFonts w:eastAsia="Calibri" w:cs="Courier New"/>
      <w:b/>
      <w:bCs/>
      <w:sz w:val="16"/>
      <w:szCs w:val="16"/>
    </w:rPr>
  </w:style>
  <w:style w:type="paragraph" w:customStyle="1" w:styleId="font6">
    <w:name w:val="font6"/>
    <w:basedOn w:val="Normal"/>
    <w:rsid w:val="00B446D0"/>
    <w:pPr>
      <w:spacing w:before="100" w:beforeAutospacing="1" w:after="100" w:afterAutospacing="1"/>
    </w:pPr>
    <w:rPr>
      <w:rFonts w:eastAsia="Calibri" w:cs="Courier New"/>
      <w:i/>
      <w:iCs/>
      <w:sz w:val="16"/>
      <w:szCs w:val="16"/>
    </w:rPr>
  </w:style>
  <w:style w:type="paragraph" w:customStyle="1" w:styleId="font7">
    <w:name w:val="font7"/>
    <w:basedOn w:val="Normal"/>
    <w:rsid w:val="00B446D0"/>
    <w:pPr>
      <w:spacing w:before="100" w:beforeAutospacing="1" w:after="100" w:afterAutospacing="1"/>
    </w:pPr>
    <w:rPr>
      <w:rFonts w:eastAsia="Calibri" w:cs="Courier New"/>
      <w:color w:val="000000"/>
      <w:sz w:val="16"/>
      <w:szCs w:val="16"/>
    </w:rPr>
  </w:style>
  <w:style w:type="paragraph" w:customStyle="1" w:styleId="xl66">
    <w:name w:val="xl66"/>
    <w:basedOn w:val="Normal"/>
    <w:rsid w:val="00B446D0"/>
    <w:pPr>
      <w:spacing w:before="100" w:beforeAutospacing="1" w:after="100" w:afterAutospacing="1"/>
    </w:pPr>
    <w:rPr>
      <w:rFonts w:eastAsia="Calibri" w:cs="Courier New"/>
      <w:sz w:val="16"/>
      <w:szCs w:val="16"/>
    </w:rPr>
  </w:style>
  <w:style w:type="paragraph" w:customStyle="1" w:styleId="xl67">
    <w:name w:val="xl67"/>
    <w:basedOn w:val="Normal"/>
    <w:rsid w:val="00B446D0"/>
    <w:pPr>
      <w:spacing w:before="100" w:beforeAutospacing="1" w:after="100" w:afterAutospacing="1"/>
      <w:textAlignment w:val="top"/>
    </w:pPr>
    <w:rPr>
      <w:rFonts w:eastAsia="Calibri" w:cs="Courier New"/>
      <w:sz w:val="16"/>
      <w:szCs w:val="16"/>
    </w:rPr>
  </w:style>
  <w:style w:type="paragraph" w:customStyle="1" w:styleId="xl68">
    <w:name w:val="xl68"/>
    <w:basedOn w:val="Normal"/>
    <w:rsid w:val="00B446D0"/>
    <w:pPr>
      <w:pBdr>
        <w:top w:val="single" w:sz="4" w:space="0" w:color="auto"/>
        <w:left w:val="single" w:sz="4" w:space="0" w:color="auto"/>
      </w:pBdr>
      <w:spacing w:before="100" w:beforeAutospacing="1" w:after="100" w:afterAutospacing="1"/>
      <w:textAlignment w:val="center"/>
    </w:pPr>
    <w:rPr>
      <w:rFonts w:eastAsia="Calibri" w:cs="Courier New"/>
      <w:sz w:val="16"/>
      <w:szCs w:val="16"/>
    </w:rPr>
  </w:style>
  <w:style w:type="paragraph" w:customStyle="1" w:styleId="xl69">
    <w:name w:val="xl69"/>
    <w:basedOn w:val="Normal"/>
    <w:rsid w:val="00B446D0"/>
    <w:pPr>
      <w:pBdr>
        <w:left w:val="single" w:sz="4" w:space="0" w:color="auto"/>
      </w:pBdr>
      <w:spacing w:before="100" w:beforeAutospacing="1" w:after="100" w:afterAutospacing="1"/>
      <w:textAlignment w:val="center"/>
    </w:pPr>
    <w:rPr>
      <w:rFonts w:eastAsia="Calibri" w:cs="Courier New"/>
      <w:sz w:val="16"/>
      <w:szCs w:val="16"/>
    </w:rPr>
  </w:style>
  <w:style w:type="paragraph" w:customStyle="1" w:styleId="xl70">
    <w:name w:val="xl70"/>
    <w:basedOn w:val="Normal"/>
    <w:rsid w:val="00B446D0"/>
    <w:pPr>
      <w:pBdr>
        <w:left w:val="single" w:sz="4" w:space="0" w:color="auto"/>
      </w:pBdr>
      <w:spacing w:before="100" w:beforeAutospacing="1" w:after="100" w:afterAutospacing="1"/>
      <w:textAlignment w:val="center"/>
    </w:pPr>
    <w:rPr>
      <w:rFonts w:eastAsia="Calibri" w:cs="Courier New"/>
      <w:sz w:val="24"/>
      <w:szCs w:val="24"/>
    </w:rPr>
  </w:style>
  <w:style w:type="paragraph" w:customStyle="1" w:styleId="xl71">
    <w:name w:val="xl71"/>
    <w:basedOn w:val="Normal"/>
    <w:rsid w:val="00B446D0"/>
    <w:pPr>
      <w:pBdr>
        <w:left w:val="single" w:sz="4" w:space="0" w:color="auto"/>
      </w:pBdr>
      <w:spacing w:before="100" w:beforeAutospacing="1" w:after="100" w:afterAutospacing="1"/>
      <w:textAlignment w:val="center"/>
    </w:pPr>
    <w:rPr>
      <w:rFonts w:eastAsia="Calibri" w:cs="Courier New"/>
      <w:b/>
      <w:bCs/>
      <w:sz w:val="16"/>
      <w:szCs w:val="16"/>
    </w:rPr>
  </w:style>
  <w:style w:type="paragraph" w:customStyle="1" w:styleId="xl72">
    <w:name w:val="xl72"/>
    <w:basedOn w:val="Normal"/>
    <w:rsid w:val="00B446D0"/>
    <w:pPr>
      <w:pBdr>
        <w:left w:val="single" w:sz="4" w:space="9" w:color="auto"/>
      </w:pBdr>
      <w:spacing w:before="100" w:beforeAutospacing="1" w:after="100" w:afterAutospacing="1"/>
      <w:ind w:firstLineChars="100" w:firstLine="100"/>
      <w:textAlignment w:val="center"/>
    </w:pPr>
    <w:rPr>
      <w:rFonts w:eastAsia="Calibri" w:cs="Courier New"/>
      <w:sz w:val="16"/>
      <w:szCs w:val="16"/>
    </w:rPr>
  </w:style>
  <w:style w:type="paragraph" w:customStyle="1" w:styleId="xl73">
    <w:name w:val="xl73"/>
    <w:basedOn w:val="Normal"/>
    <w:rsid w:val="00B446D0"/>
    <w:pPr>
      <w:pBdr>
        <w:top w:val="single" w:sz="4" w:space="0" w:color="auto"/>
      </w:pBdr>
      <w:spacing w:before="100" w:beforeAutospacing="1" w:after="100" w:afterAutospacing="1"/>
      <w:jc w:val="right"/>
      <w:textAlignment w:val="center"/>
    </w:pPr>
    <w:rPr>
      <w:rFonts w:eastAsia="Calibri" w:cs="Courier New"/>
      <w:sz w:val="16"/>
      <w:szCs w:val="16"/>
    </w:rPr>
  </w:style>
  <w:style w:type="paragraph" w:customStyle="1" w:styleId="xl74">
    <w:name w:val="xl74"/>
    <w:basedOn w:val="Normal"/>
    <w:rsid w:val="00B446D0"/>
    <w:pPr>
      <w:spacing w:before="100" w:beforeAutospacing="1" w:after="100" w:afterAutospacing="1"/>
      <w:jc w:val="right"/>
      <w:textAlignment w:val="center"/>
    </w:pPr>
    <w:rPr>
      <w:rFonts w:eastAsia="Calibri" w:cs="Courier New"/>
      <w:sz w:val="16"/>
      <w:szCs w:val="16"/>
    </w:rPr>
  </w:style>
  <w:style w:type="paragraph" w:customStyle="1" w:styleId="xl75">
    <w:name w:val="xl75"/>
    <w:basedOn w:val="Normal"/>
    <w:rsid w:val="00B446D0"/>
    <w:pPr>
      <w:spacing w:before="100" w:beforeAutospacing="1" w:after="100" w:afterAutospacing="1"/>
      <w:jc w:val="right"/>
      <w:textAlignment w:val="center"/>
    </w:pPr>
    <w:rPr>
      <w:rFonts w:eastAsia="Calibri" w:cs="Courier New"/>
      <w:b/>
      <w:bCs/>
      <w:sz w:val="16"/>
      <w:szCs w:val="16"/>
    </w:rPr>
  </w:style>
  <w:style w:type="paragraph" w:customStyle="1" w:styleId="xl76">
    <w:name w:val="xl76"/>
    <w:basedOn w:val="Normal"/>
    <w:rsid w:val="00B446D0"/>
    <w:pPr>
      <w:spacing w:before="100" w:beforeAutospacing="1" w:after="100" w:afterAutospacing="1"/>
      <w:jc w:val="right"/>
      <w:textAlignment w:val="center"/>
    </w:pPr>
    <w:rPr>
      <w:rFonts w:eastAsia="Calibri" w:cs="Courier New"/>
      <w:sz w:val="16"/>
      <w:szCs w:val="16"/>
    </w:rPr>
  </w:style>
  <w:style w:type="paragraph" w:customStyle="1" w:styleId="xl77">
    <w:name w:val="xl77"/>
    <w:basedOn w:val="Normal"/>
    <w:rsid w:val="00B446D0"/>
    <w:pPr>
      <w:pBdr>
        <w:left w:val="single" w:sz="4" w:space="9" w:color="auto"/>
      </w:pBdr>
      <w:spacing w:before="100" w:beforeAutospacing="1" w:after="100" w:afterAutospacing="1"/>
      <w:ind w:firstLineChars="100" w:firstLine="100"/>
      <w:textAlignment w:val="center"/>
    </w:pPr>
    <w:rPr>
      <w:rFonts w:eastAsia="Calibri" w:cs="Courier New"/>
      <w:sz w:val="16"/>
      <w:szCs w:val="16"/>
    </w:rPr>
  </w:style>
  <w:style w:type="paragraph" w:customStyle="1" w:styleId="xl78">
    <w:name w:val="xl78"/>
    <w:basedOn w:val="Normal"/>
    <w:rsid w:val="00B446D0"/>
    <w:pPr>
      <w:spacing w:before="100" w:beforeAutospacing="1" w:after="100" w:afterAutospacing="1"/>
      <w:jc w:val="right"/>
      <w:textAlignment w:val="center"/>
    </w:pPr>
    <w:rPr>
      <w:rFonts w:eastAsia="Calibri" w:cs="Courier New"/>
      <w:sz w:val="16"/>
      <w:szCs w:val="16"/>
    </w:rPr>
  </w:style>
  <w:style w:type="paragraph" w:customStyle="1" w:styleId="xl79">
    <w:name w:val="xl79"/>
    <w:basedOn w:val="Normal"/>
    <w:rsid w:val="00B446D0"/>
    <w:pPr>
      <w:pBdr>
        <w:top w:val="single" w:sz="4" w:space="0" w:color="auto"/>
      </w:pBdr>
      <w:spacing w:before="100" w:beforeAutospacing="1" w:after="100" w:afterAutospacing="1"/>
      <w:jc w:val="center"/>
    </w:pPr>
    <w:rPr>
      <w:rFonts w:eastAsia="Calibri" w:cs="Courier New"/>
      <w:b/>
      <w:bCs/>
      <w:color w:val="000000"/>
      <w:sz w:val="16"/>
      <w:szCs w:val="16"/>
    </w:rPr>
  </w:style>
  <w:style w:type="paragraph" w:customStyle="1" w:styleId="xl80">
    <w:name w:val="xl80"/>
    <w:basedOn w:val="Normal"/>
    <w:rsid w:val="00B446D0"/>
    <w:pPr>
      <w:spacing w:before="100" w:beforeAutospacing="1" w:after="100" w:afterAutospacing="1"/>
      <w:jc w:val="center"/>
    </w:pPr>
    <w:rPr>
      <w:rFonts w:eastAsia="Calibri" w:cs="Courier New"/>
      <w:b/>
      <w:bCs/>
      <w:color w:val="000000"/>
      <w:sz w:val="16"/>
      <w:szCs w:val="16"/>
    </w:rPr>
  </w:style>
  <w:style w:type="paragraph" w:customStyle="1" w:styleId="xl81">
    <w:name w:val="xl81"/>
    <w:basedOn w:val="Normal"/>
    <w:rsid w:val="00B446D0"/>
    <w:pPr>
      <w:spacing w:before="100" w:beforeAutospacing="1" w:after="100" w:afterAutospacing="1"/>
      <w:jc w:val="center"/>
    </w:pPr>
    <w:rPr>
      <w:rFonts w:eastAsia="Calibri" w:cs="Courier New"/>
      <w:color w:val="000000"/>
      <w:sz w:val="24"/>
      <w:szCs w:val="24"/>
    </w:rPr>
  </w:style>
  <w:style w:type="paragraph" w:customStyle="1" w:styleId="xl82">
    <w:name w:val="xl82"/>
    <w:basedOn w:val="Normal"/>
    <w:rsid w:val="00B446D0"/>
    <w:pPr>
      <w:pBdr>
        <w:top w:val="single" w:sz="4" w:space="0" w:color="auto"/>
        <w:bottom w:val="single" w:sz="4" w:space="0" w:color="auto"/>
      </w:pBdr>
      <w:spacing w:before="100" w:beforeAutospacing="1" w:after="100" w:afterAutospacing="1"/>
      <w:jc w:val="center"/>
    </w:pPr>
    <w:rPr>
      <w:rFonts w:eastAsia="Calibri" w:cs="Courier New"/>
      <w:b/>
      <w:bCs/>
      <w:color w:val="000000"/>
      <w:sz w:val="16"/>
      <w:szCs w:val="16"/>
    </w:rPr>
  </w:style>
  <w:style w:type="paragraph" w:customStyle="1" w:styleId="xl83">
    <w:name w:val="xl83"/>
    <w:basedOn w:val="Normal"/>
    <w:rsid w:val="00B446D0"/>
    <w:pPr>
      <w:spacing w:before="100" w:beforeAutospacing="1" w:after="100" w:afterAutospacing="1"/>
      <w:jc w:val="center"/>
    </w:pPr>
    <w:rPr>
      <w:rFonts w:eastAsia="Calibri" w:cs="Courier New"/>
      <w:color w:val="000000"/>
      <w:sz w:val="16"/>
      <w:szCs w:val="16"/>
    </w:rPr>
  </w:style>
  <w:style w:type="paragraph" w:customStyle="1" w:styleId="xl84">
    <w:name w:val="xl84"/>
    <w:basedOn w:val="Normal"/>
    <w:rsid w:val="00B446D0"/>
    <w:pPr>
      <w:pBdr>
        <w:left w:val="single" w:sz="8" w:space="0" w:color="auto"/>
      </w:pBdr>
      <w:spacing w:before="100" w:beforeAutospacing="1" w:after="100" w:afterAutospacing="1"/>
    </w:pPr>
    <w:rPr>
      <w:rFonts w:eastAsia="Calibri" w:cs="Courier New"/>
      <w:b/>
      <w:bCs/>
      <w:sz w:val="16"/>
      <w:szCs w:val="16"/>
    </w:rPr>
  </w:style>
  <w:style w:type="paragraph" w:customStyle="1" w:styleId="xl85">
    <w:name w:val="xl85"/>
    <w:basedOn w:val="Normal"/>
    <w:rsid w:val="00B446D0"/>
    <w:pPr>
      <w:pBdr>
        <w:left w:val="single" w:sz="8" w:space="0" w:color="auto"/>
      </w:pBdr>
      <w:spacing w:before="100" w:beforeAutospacing="1" w:after="100" w:afterAutospacing="1"/>
      <w:textAlignment w:val="top"/>
    </w:pPr>
    <w:rPr>
      <w:rFonts w:eastAsia="Calibri" w:cs="Courier New"/>
      <w:b/>
      <w:bCs/>
      <w:sz w:val="16"/>
      <w:szCs w:val="16"/>
    </w:rPr>
  </w:style>
  <w:style w:type="paragraph" w:customStyle="1" w:styleId="xl86">
    <w:name w:val="xl86"/>
    <w:basedOn w:val="Normal"/>
    <w:rsid w:val="00B446D0"/>
    <w:pPr>
      <w:pBdr>
        <w:left w:val="single" w:sz="8" w:space="9" w:color="auto"/>
      </w:pBdr>
      <w:spacing w:before="100" w:beforeAutospacing="1" w:after="100" w:afterAutospacing="1"/>
      <w:ind w:firstLineChars="100" w:firstLine="100"/>
      <w:textAlignment w:val="top"/>
    </w:pPr>
    <w:rPr>
      <w:rFonts w:eastAsia="Calibri" w:cs="Courier New"/>
      <w:sz w:val="16"/>
      <w:szCs w:val="16"/>
    </w:rPr>
  </w:style>
  <w:style w:type="paragraph" w:customStyle="1" w:styleId="xl87">
    <w:name w:val="xl87"/>
    <w:basedOn w:val="Normal"/>
    <w:rsid w:val="00B446D0"/>
    <w:pPr>
      <w:spacing w:before="100" w:beforeAutospacing="1" w:after="100" w:afterAutospacing="1"/>
      <w:ind w:firstLineChars="100" w:firstLine="100"/>
    </w:pPr>
    <w:rPr>
      <w:rFonts w:eastAsia="Calibri" w:cs="Courier New"/>
      <w:sz w:val="16"/>
      <w:szCs w:val="16"/>
    </w:rPr>
  </w:style>
  <w:style w:type="paragraph" w:customStyle="1" w:styleId="xl88">
    <w:name w:val="xl88"/>
    <w:basedOn w:val="Normal"/>
    <w:rsid w:val="00B446D0"/>
    <w:pPr>
      <w:pBdr>
        <w:left w:val="single" w:sz="4" w:space="9" w:color="auto"/>
      </w:pBdr>
      <w:shd w:val="clear" w:color="000000" w:fill="FCD5B4"/>
      <w:spacing w:before="100" w:beforeAutospacing="1" w:after="100" w:afterAutospacing="1"/>
      <w:ind w:firstLineChars="100" w:firstLine="100"/>
      <w:textAlignment w:val="center"/>
    </w:pPr>
    <w:rPr>
      <w:rFonts w:eastAsia="Calibri" w:cs="Courier New"/>
      <w:sz w:val="16"/>
      <w:szCs w:val="16"/>
    </w:rPr>
  </w:style>
  <w:style w:type="paragraph" w:customStyle="1" w:styleId="xl89">
    <w:name w:val="xl89"/>
    <w:basedOn w:val="Normal"/>
    <w:rsid w:val="00B446D0"/>
    <w:pPr>
      <w:shd w:val="clear" w:color="000000" w:fill="FCD5B4"/>
      <w:spacing w:before="100" w:beforeAutospacing="1" w:after="100" w:afterAutospacing="1"/>
      <w:jc w:val="right"/>
      <w:textAlignment w:val="center"/>
    </w:pPr>
    <w:rPr>
      <w:rFonts w:eastAsia="Calibri" w:cs="Courier New"/>
      <w:sz w:val="16"/>
      <w:szCs w:val="16"/>
    </w:rPr>
  </w:style>
  <w:style w:type="paragraph" w:customStyle="1" w:styleId="xl90">
    <w:name w:val="xl90"/>
    <w:basedOn w:val="Normal"/>
    <w:rsid w:val="00B446D0"/>
    <w:pPr>
      <w:shd w:val="clear" w:color="000000" w:fill="FCD5B4"/>
      <w:spacing w:before="100" w:beforeAutospacing="1" w:after="100" w:afterAutospacing="1"/>
      <w:jc w:val="right"/>
      <w:textAlignment w:val="center"/>
    </w:pPr>
    <w:rPr>
      <w:rFonts w:eastAsia="Calibri" w:cs="Courier New"/>
      <w:sz w:val="16"/>
      <w:szCs w:val="16"/>
    </w:rPr>
  </w:style>
  <w:style w:type="paragraph" w:customStyle="1" w:styleId="xl91">
    <w:name w:val="xl91"/>
    <w:basedOn w:val="Normal"/>
    <w:rsid w:val="00B446D0"/>
    <w:pPr>
      <w:spacing w:before="100" w:beforeAutospacing="1" w:after="100" w:afterAutospacing="1"/>
      <w:jc w:val="right"/>
      <w:textAlignment w:val="center"/>
    </w:pPr>
    <w:rPr>
      <w:rFonts w:eastAsia="Calibri" w:cs="Courier New"/>
      <w:sz w:val="16"/>
      <w:szCs w:val="16"/>
    </w:rPr>
  </w:style>
  <w:style w:type="paragraph" w:customStyle="1" w:styleId="xl92">
    <w:name w:val="xl92"/>
    <w:basedOn w:val="Normal"/>
    <w:rsid w:val="00B446D0"/>
    <w:pPr>
      <w:spacing w:before="100" w:beforeAutospacing="1" w:after="100" w:afterAutospacing="1"/>
      <w:jc w:val="right"/>
      <w:textAlignment w:val="center"/>
    </w:pPr>
    <w:rPr>
      <w:rFonts w:ascii="Times New Roman" w:eastAsia="Calibri" w:hAnsi="Times New Roman"/>
      <w:sz w:val="24"/>
      <w:szCs w:val="24"/>
    </w:rPr>
  </w:style>
  <w:style w:type="paragraph" w:customStyle="1" w:styleId="xl93">
    <w:name w:val="xl93"/>
    <w:basedOn w:val="Normal"/>
    <w:rsid w:val="00B446D0"/>
    <w:pPr>
      <w:spacing w:before="100" w:beforeAutospacing="1" w:after="100" w:afterAutospacing="1"/>
      <w:jc w:val="right"/>
      <w:textAlignment w:val="center"/>
    </w:pPr>
    <w:rPr>
      <w:rFonts w:eastAsia="Calibri" w:cs="Courier New"/>
      <w:sz w:val="16"/>
      <w:szCs w:val="16"/>
    </w:rPr>
  </w:style>
  <w:style w:type="paragraph" w:customStyle="1" w:styleId="xl94">
    <w:name w:val="xl94"/>
    <w:basedOn w:val="Normal"/>
    <w:rsid w:val="00B446D0"/>
    <w:pPr>
      <w:shd w:val="clear" w:color="000000" w:fill="FCD5B4"/>
      <w:spacing w:before="100" w:beforeAutospacing="1" w:after="100" w:afterAutospacing="1"/>
      <w:jc w:val="right"/>
      <w:textAlignment w:val="center"/>
    </w:pPr>
    <w:rPr>
      <w:rFonts w:eastAsia="Calibri" w:cs="Courier New"/>
      <w:sz w:val="16"/>
      <w:szCs w:val="16"/>
    </w:rPr>
  </w:style>
  <w:style w:type="paragraph" w:customStyle="1" w:styleId="xl95">
    <w:name w:val="xl95"/>
    <w:basedOn w:val="Normal"/>
    <w:rsid w:val="00B446D0"/>
    <w:pPr>
      <w:spacing w:before="100" w:beforeAutospacing="1" w:after="100" w:afterAutospacing="1"/>
      <w:jc w:val="right"/>
      <w:textAlignment w:val="center"/>
    </w:pPr>
    <w:rPr>
      <w:rFonts w:eastAsia="Calibri" w:cs="Courier New"/>
      <w:b/>
      <w:bCs/>
      <w:sz w:val="16"/>
      <w:szCs w:val="16"/>
    </w:rPr>
  </w:style>
  <w:style w:type="paragraph" w:customStyle="1" w:styleId="xl96">
    <w:name w:val="xl96"/>
    <w:basedOn w:val="Normal"/>
    <w:rsid w:val="00B446D0"/>
    <w:pPr>
      <w:shd w:val="clear" w:color="000000" w:fill="FCD5B4"/>
      <w:spacing w:before="100" w:beforeAutospacing="1" w:after="100" w:afterAutospacing="1"/>
      <w:jc w:val="right"/>
      <w:textAlignment w:val="center"/>
    </w:pPr>
    <w:rPr>
      <w:rFonts w:eastAsia="Calibri" w:cs="Courier New"/>
      <w:sz w:val="16"/>
      <w:szCs w:val="16"/>
    </w:rPr>
  </w:style>
  <w:style w:type="paragraph" w:customStyle="1" w:styleId="xl97">
    <w:name w:val="xl97"/>
    <w:basedOn w:val="Normal"/>
    <w:rsid w:val="00B446D0"/>
    <w:pPr>
      <w:pBdr>
        <w:top w:val="single" w:sz="4" w:space="0" w:color="auto"/>
        <w:right w:val="single" w:sz="4" w:space="0" w:color="auto"/>
      </w:pBdr>
      <w:spacing w:before="100" w:beforeAutospacing="1" w:after="100" w:afterAutospacing="1"/>
      <w:jc w:val="right"/>
      <w:textAlignment w:val="center"/>
    </w:pPr>
    <w:rPr>
      <w:rFonts w:eastAsia="Calibri" w:cs="Courier New"/>
      <w:sz w:val="16"/>
      <w:szCs w:val="16"/>
    </w:rPr>
  </w:style>
  <w:style w:type="paragraph" w:customStyle="1" w:styleId="xl98">
    <w:name w:val="xl98"/>
    <w:basedOn w:val="Normal"/>
    <w:rsid w:val="00B446D0"/>
    <w:pPr>
      <w:pBdr>
        <w:right w:val="single" w:sz="4" w:space="0" w:color="auto"/>
      </w:pBdr>
      <w:spacing w:before="100" w:beforeAutospacing="1" w:after="100" w:afterAutospacing="1"/>
      <w:jc w:val="right"/>
      <w:textAlignment w:val="center"/>
    </w:pPr>
    <w:rPr>
      <w:rFonts w:eastAsia="Calibri" w:cs="Courier New"/>
      <w:sz w:val="16"/>
      <w:szCs w:val="16"/>
    </w:rPr>
  </w:style>
  <w:style w:type="paragraph" w:customStyle="1" w:styleId="xl99">
    <w:name w:val="xl99"/>
    <w:basedOn w:val="Normal"/>
    <w:rsid w:val="00B446D0"/>
    <w:pPr>
      <w:pBdr>
        <w:top w:val="single" w:sz="4" w:space="0" w:color="auto"/>
      </w:pBdr>
      <w:spacing w:before="100" w:beforeAutospacing="1" w:after="100" w:afterAutospacing="1"/>
      <w:jc w:val="right"/>
      <w:textAlignment w:val="center"/>
    </w:pPr>
    <w:rPr>
      <w:rFonts w:eastAsia="Calibri" w:cs="Courier New"/>
      <w:sz w:val="16"/>
      <w:szCs w:val="16"/>
    </w:rPr>
  </w:style>
  <w:style w:type="paragraph" w:customStyle="1" w:styleId="xl100">
    <w:name w:val="xl100"/>
    <w:basedOn w:val="Normal"/>
    <w:rsid w:val="00B446D0"/>
    <w:pPr>
      <w:spacing w:before="100" w:beforeAutospacing="1" w:after="100" w:afterAutospacing="1"/>
      <w:jc w:val="right"/>
      <w:textAlignment w:val="center"/>
    </w:pPr>
    <w:rPr>
      <w:rFonts w:eastAsia="Calibri" w:cs="Courier New"/>
      <w:sz w:val="16"/>
      <w:szCs w:val="16"/>
    </w:rPr>
  </w:style>
  <w:style w:type="paragraph" w:customStyle="1" w:styleId="xl101">
    <w:name w:val="xl101"/>
    <w:basedOn w:val="Normal"/>
    <w:rsid w:val="00B446D0"/>
    <w:pPr>
      <w:spacing w:before="100" w:beforeAutospacing="1" w:after="100" w:afterAutospacing="1"/>
      <w:jc w:val="right"/>
      <w:textAlignment w:val="center"/>
    </w:pPr>
    <w:rPr>
      <w:rFonts w:eastAsia="Calibri" w:cs="Courier New"/>
      <w:sz w:val="24"/>
      <w:szCs w:val="24"/>
    </w:rPr>
  </w:style>
  <w:style w:type="paragraph" w:customStyle="1" w:styleId="xl102">
    <w:name w:val="xl102"/>
    <w:basedOn w:val="Normal"/>
    <w:rsid w:val="00B446D0"/>
    <w:pPr>
      <w:shd w:val="clear" w:color="000000" w:fill="FCD5B4"/>
      <w:spacing w:before="100" w:beforeAutospacing="1" w:after="100" w:afterAutospacing="1"/>
      <w:jc w:val="right"/>
      <w:textAlignment w:val="center"/>
    </w:pPr>
    <w:rPr>
      <w:rFonts w:eastAsia="Calibri" w:cs="Courier New"/>
      <w:sz w:val="16"/>
      <w:szCs w:val="16"/>
    </w:rPr>
  </w:style>
  <w:style w:type="paragraph" w:customStyle="1" w:styleId="xl103">
    <w:name w:val="xl103"/>
    <w:basedOn w:val="Normal"/>
    <w:rsid w:val="00B446D0"/>
    <w:pPr>
      <w:pBdr>
        <w:right w:val="single" w:sz="4" w:space="0" w:color="auto"/>
      </w:pBdr>
      <w:spacing w:before="100" w:beforeAutospacing="1" w:after="100" w:afterAutospacing="1"/>
      <w:jc w:val="right"/>
      <w:textAlignment w:val="center"/>
    </w:pPr>
    <w:rPr>
      <w:rFonts w:eastAsia="Calibri" w:cs="Courier New"/>
      <w:sz w:val="24"/>
      <w:szCs w:val="24"/>
    </w:rPr>
  </w:style>
  <w:style w:type="paragraph" w:customStyle="1" w:styleId="xl104">
    <w:name w:val="xl104"/>
    <w:basedOn w:val="Normal"/>
    <w:rsid w:val="00B446D0"/>
    <w:pPr>
      <w:pBdr>
        <w:right w:val="single" w:sz="4" w:space="0" w:color="auto"/>
      </w:pBdr>
      <w:shd w:val="clear" w:color="000000" w:fill="FCD5B4"/>
      <w:spacing w:before="100" w:beforeAutospacing="1" w:after="100" w:afterAutospacing="1"/>
      <w:jc w:val="right"/>
      <w:textAlignment w:val="center"/>
    </w:pPr>
    <w:rPr>
      <w:rFonts w:eastAsia="Calibri" w:cs="Courier New"/>
      <w:sz w:val="16"/>
      <w:szCs w:val="16"/>
    </w:rPr>
  </w:style>
  <w:style w:type="paragraph" w:customStyle="1" w:styleId="xl105">
    <w:name w:val="xl105"/>
    <w:basedOn w:val="Normal"/>
    <w:rsid w:val="00B446D0"/>
    <w:pPr>
      <w:pBdr>
        <w:bottom w:val="single" w:sz="4" w:space="0" w:color="auto"/>
        <w:right w:val="single" w:sz="4" w:space="0" w:color="auto"/>
      </w:pBdr>
      <w:spacing w:before="100" w:beforeAutospacing="1" w:after="100" w:afterAutospacing="1"/>
      <w:jc w:val="right"/>
      <w:textAlignment w:val="center"/>
    </w:pPr>
    <w:rPr>
      <w:rFonts w:eastAsia="Calibri" w:cs="Courier New"/>
      <w:sz w:val="16"/>
      <w:szCs w:val="16"/>
    </w:rPr>
  </w:style>
  <w:style w:type="paragraph" w:customStyle="1" w:styleId="xl106">
    <w:name w:val="xl106"/>
    <w:basedOn w:val="Normal"/>
    <w:rsid w:val="00B446D0"/>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eastAsia="Calibri" w:cs="Courier New"/>
      <w:b/>
      <w:bCs/>
      <w:color w:val="FFFFFF"/>
      <w:sz w:val="24"/>
      <w:szCs w:val="24"/>
    </w:rPr>
  </w:style>
  <w:style w:type="paragraph" w:customStyle="1" w:styleId="xl107">
    <w:name w:val="xl107"/>
    <w:basedOn w:val="Normal"/>
    <w:rsid w:val="00B446D0"/>
    <w:pPr>
      <w:pBdr>
        <w:top w:val="single" w:sz="4" w:space="0" w:color="auto"/>
        <w:bottom w:val="single" w:sz="4" w:space="0" w:color="auto"/>
      </w:pBdr>
      <w:shd w:val="clear" w:color="000000" w:fill="000000"/>
      <w:spacing w:before="100" w:beforeAutospacing="1" w:after="100" w:afterAutospacing="1"/>
      <w:textAlignment w:val="center"/>
    </w:pPr>
    <w:rPr>
      <w:rFonts w:eastAsia="Calibri" w:cs="Courier New"/>
      <w:b/>
      <w:bCs/>
      <w:color w:val="FFFFFF"/>
      <w:sz w:val="24"/>
      <w:szCs w:val="24"/>
    </w:rPr>
  </w:style>
  <w:style w:type="paragraph" w:customStyle="1" w:styleId="xl108">
    <w:name w:val="xl108"/>
    <w:basedOn w:val="Normal"/>
    <w:rsid w:val="00B446D0"/>
    <w:pPr>
      <w:pBdr>
        <w:top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eastAsia="Calibri" w:cs="Courier New"/>
      <w:b/>
      <w:bCs/>
      <w:color w:val="FFFFFF"/>
      <w:sz w:val="24"/>
      <w:szCs w:val="24"/>
    </w:rPr>
  </w:style>
  <w:style w:type="paragraph" w:customStyle="1" w:styleId="xl109">
    <w:name w:val="xl109"/>
    <w:basedOn w:val="Normal"/>
    <w:rsid w:val="00B446D0"/>
    <w:pPr>
      <w:pBdr>
        <w:top w:val="single" w:sz="4" w:space="0" w:color="auto"/>
        <w:left w:val="single" w:sz="4" w:space="0" w:color="auto"/>
      </w:pBdr>
      <w:spacing w:before="100" w:beforeAutospacing="1" w:after="100" w:afterAutospacing="1"/>
      <w:jc w:val="center"/>
      <w:textAlignment w:val="center"/>
    </w:pPr>
    <w:rPr>
      <w:rFonts w:eastAsia="Calibri" w:cs="Courier New"/>
      <w:b/>
      <w:bCs/>
      <w:sz w:val="16"/>
      <w:szCs w:val="16"/>
    </w:rPr>
  </w:style>
  <w:style w:type="paragraph" w:customStyle="1" w:styleId="xl110">
    <w:name w:val="xl110"/>
    <w:basedOn w:val="Normal"/>
    <w:rsid w:val="00B446D0"/>
    <w:pPr>
      <w:pBdr>
        <w:top w:val="single" w:sz="4" w:space="0" w:color="auto"/>
      </w:pBdr>
      <w:spacing w:before="100" w:beforeAutospacing="1" w:after="100" w:afterAutospacing="1"/>
      <w:jc w:val="center"/>
      <w:textAlignment w:val="center"/>
    </w:pPr>
    <w:rPr>
      <w:rFonts w:eastAsia="Calibri" w:cs="Courier New"/>
      <w:b/>
      <w:bCs/>
      <w:sz w:val="16"/>
      <w:szCs w:val="16"/>
    </w:rPr>
  </w:style>
  <w:style w:type="paragraph" w:customStyle="1" w:styleId="xl111">
    <w:name w:val="xl111"/>
    <w:basedOn w:val="Normal"/>
    <w:rsid w:val="00B446D0"/>
    <w:pPr>
      <w:pBdr>
        <w:left w:val="single" w:sz="4" w:space="0" w:color="auto"/>
        <w:bottom w:val="single" w:sz="4" w:space="0" w:color="auto"/>
      </w:pBdr>
      <w:spacing w:before="100" w:beforeAutospacing="1" w:after="100" w:afterAutospacing="1"/>
      <w:jc w:val="center"/>
      <w:textAlignment w:val="center"/>
    </w:pPr>
    <w:rPr>
      <w:rFonts w:eastAsia="Calibri" w:cs="Courier New"/>
      <w:b/>
      <w:bCs/>
      <w:sz w:val="16"/>
      <w:szCs w:val="16"/>
    </w:rPr>
  </w:style>
  <w:style w:type="paragraph" w:customStyle="1" w:styleId="xl112">
    <w:name w:val="xl112"/>
    <w:basedOn w:val="Normal"/>
    <w:rsid w:val="00B446D0"/>
    <w:pPr>
      <w:pBdr>
        <w:bottom w:val="single" w:sz="4" w:space="0" w:color="auto"/>
      </w:pBdr>
      <w:spacing w:before="100" w:beforeAutospacing="1" w:after="100" w:afterAutospacing="1"/>
      <w:jc w:val="center"/>
      <w:textAlignment w:val="center"/>
    </w:pPr>
    <w:rPr>
      <w:rFonts w:eastAsia="Calibri" w:cs="Courier New"/>
      <w:b/>
      <w:bCs/>
      <w:sz w:val="16"/>
      <w:szCs w:val="16"/>
    </w:rPr>
  </w:style>
  <w:style w:type="paragraph" w:customStyle="1" w:styleId="xl113">
    <w:name w:val="xl113"/>
    <w:basedOn w:val="Normal"/>
    <w:rsid w:val="00B446D0"/>
    <w:pPr>
      <w:pBdr>
        <w:top w:val="single" w:sz="4" w:space="0" w:color="auto"/>
        <w:bottom w:val="single" w:sz="4" w:space="0" w:color="auto"/>
      </w:pBdr>
      <w:spacing w:before="100" w:beforeAutospacing="1" w:after="100" w:afterAutospacing="1"/>
      <w:jc w:val="center"/>
    </w:pPr>
    <w:rPr>
      <w:rFonts w:eastAsia="Calibri" w:cs="Courier New"/>
      <w:b/>
      <w:bCs/>
      <w:color w:val="000000"/>
      <w:sz w:val="24"/>
      <w:szCs w:val="24"/>
    </w:rPr>
  </w:style>
  <w:style w:type="paragraph" w:customStyle="1" w:styleId="xl114">
    <w:name w:val="xl114"/>
    <w:basedOn w:val="Normal"/>
    <w:rsid w:val="00B446D0"/>
    <w:pPr>
      <w:pBdr>
        <w:top w:val="single" w:sz="4" w:space="0" w:color="auto"/>
        <w:bottom w:val="single" w:sz="4" w:space="0" w:color="auto"/>
      </w:pBdr>
      <w:spacing w:before="100" w:beforeAutospacing="1" w:after="100" w:afterAutospacing="1"/>
      <w:jc w:val="center"/>
    </w:pPr>
    <w:rPr>
      <w:rFonts w:eastAsia="Calibri" w:cs="Courier New"/>
      <w:color w:val="000000"/>
      <w:sz w:val="24"/>
      <w:szCs w:val="24"/>
    </w:rPr>
  </w:style>
  <w:style w:type="paragraph" w:customStyle="1" w:styleId="xl115">
    <w:name w:val="xl115"/>
    <w:basedOn w:val="Normal"/>
    <w:rsid w:val="00B446D0"/>
    <w:pPr>
      <w:pBdr>
        <w:left w:val="single" w:sz="4" w:space="0" w:color="auto"/>
      </w:pBdr>
      <w:spacing w:before="100" w:beforeAutospacing="1" w:after="100" w:afterAutospacing="1"/>
      <w:jc w:val="center"/>
      <w:textAlignment w:val="center"/>
    </w:pPr>
    <w:rPr>
      <w:rFonts w:eastAsia="Calibri" w:cs="Courier New"/>
      <w:b/>
      <w:bCs/>
      <w:sz w:val="16"/>
      <w:szCs w:val="16"/>
    </w:rPr>
  </w:style>
  <w:style w:type="paragraph" w:customStyle="1" w:styleId="xl116">
    <w:name w:val="xl116"/>
    <w:basedOn w:val="Normal"/>
    <w:rsid w:val="00B446D0"/>
    <w:pPr>
      <w:spacing w:before="100" w:beforeAutospacing="1" w:after="100" w:afterAutospacing="1"/>
      <w:jc w:val="center"/>
      <w:textAlignment w:val="center"/>
    </w:pPr>
    <w:rPr>
      <w:rFonts w:eastAsia="Calibri" w:cs="Courier New"/>
      <w:b/>
      <w:bCs/>
      <w:sz w:val="16"/>
      <w:szCs w:val="16"/>
    </w:rPr>
  </w:style>
  <w:style w:type="paragraph" w:customStyle="1" w:styleId="xl117">
    <w:name w:val="xl117"/>
    <w:basedOn w:val="Normal"/>
    <w:rsid w:val="00B446D0"/>
    <w:pPr>
      <w:pBdr>
        <w:left w:val="single" w:sz="4" w:space="0" w:color="auto"/>
      </w:pBdr>
      <w:shd w:val="clear" w:color="000000" w:fill="FCD5B4"/>
      <w:spacing w:before="100" w:beforeAutospacing="1" w:after="100" w:afterAutospacing="1"/>
      <w:jc w:val="center"/>
      <w:textAlignment w:val="center"/>
    </w:pPr>
    <w:rPr>
      <w:rFonts w:eastAsia="Calibri" w:cs="Courier New"/>
      <w:i/>
      <w:iCs/>
      <w:sz w:val="16"/>
      <w:szCs w:val="16"/>
    </w:rPr>
  </w:style>
  <w:style w:type="paragraph" w:customStyle="1" w:styleId="xl118">
    <w:name w:val="xl118"/>
    <w:basedOn w:val="Normal"/>
    <w:rsid w:val="00B446D0"/>
    <w:pPr>
      <w:shd w:val="clear" w:color="000000" w:fill="FCD5B4"/>
      <w:spacing w:before="100" w:beforeAutospacing="1" w:after="100" w:afterAutospacing="1"/>
      <w:jc w:val="center"/>
      <w:textAlignment w:val="center"/>
    </w:pPr>
    <w:rPr>
      <w:rFonts w:eastAsia="Calibri" w:cs="Courier New"/>
      <w:i/>
      <w:iCs/>
      <w:sz w:val="16"/>
      <w:szCs w:val="16"/>
    </w:rPr>
  </w:style>
  <w:style w:type="paragraph" w:customStyle="1" w:styleId="xl119">
    <w:name w:val="xl119"/>
    <w:basedOn w:val="Normal"/>
    <w:rsid w:val="00B446D0"/>
    <w:pPr>
      <w:pBdr>
        <w:bottom w:val="single" w:sz="4" w:space="0" w:color="auto"/>
      </w:pBdr>
      <w:spacing w:before="100" w:beforeAutospacing="1" w:after="100" w:afterAutospacing="1"/>
      <w:jc w:val="center"/>
    </w:pPr>
    <w:rPr>
      <w:rFonts w:eastAsia="Calibri" w:cs="Courier New"/>
      <w:b/>
      <w:bCs/>
      <w:sz w:val="16"/>
      <w:szCs w:val="16"/>
    </w:rPr>
  </w:style>
  <w:style w:type="paragraph" w:customStyle="1" w:styleId="xl120">
    <w:name w:val="xl120"/>
    <w:basedOn w:val="Normal"/>
    <w:rsid w:val="00B446D0"/>
    <w:pPr>
      <w:pBdr>
        <w:bottom w:val="single" w:sz="4" w:space="0" w:color="auto"/>
      </w:pBdr>
      <w:spacing w:before="100" w:beforeAutospacing="1" w:after="100" w:afterAutospacing="1"/>
      <w:jc w:val="center"/>
    </w:pPr>
    <w:rPr>
      <w:rFonts w:eastAsia="Calibri" w:cs="Courier New"/>
      <w:color w:val="000000"/>
      <w:sz w:val="24"/>
      <w:szCs w:val="24"/>
    </w:rPr>
  </w:style>
  <w:style w:type="paragraph" w:customStyle="1" w:styleId="xl121">
    <w:name w:val="xl121"/>
    <w:basedOn w:val="Normal"/>
    <w:rsid w:val="00B446D0"/>
    <w:pPr>
      <w:pBdr>
        <w:top w:val="single" w:sz="4" w:space="0" w:color="auto"/>
      </w:pBdr>
      <w:spacing w:before="100" w:beforeAutospacing="1" w:after="100" w:afterAutospacing="1"/>
      <w:jc w:val="center"/>
    </w:pPr>
    <w:rPr>
      <w:rFonts w:eastAsia="Calibri" w:cs="Courier New"/>
      <w:color w:val="000000"/>
      <w:sz w:val="16"/>
      <w:szCs w:val="16"/>
    </w:rPr>
  </w:style>
  <w:style w:type="paragraph" w:customStyle="1" w:styleId="xl122">
    <w:name w:val="xl122"/>
    <w:basedOn w:val="Normal"/>
    <w:rsid w:val="00B446D0"/>
    <w:pPr>
      <w:pBdr>
        <w:top w:val="single" w:sz="4" w:space="0" w:color="auto"/>
      </w:pBdr>
      <w:spacing w:before="100" w:beforeAutospacing="1" w:after="100" w:afterAutospacing="1"/>
      <w:jc w:val="center"/>
      <w:textAlignment w:val="center"/>
    </w:pPr>
    <w:rPr>
      <w:rFonts w:eastAsia="Calibri" w:cs="Courier New"/>
      <w:color w:val="000000"/>
      <w:sz w:val="16"/>
      <w:szCs w:val="16"/>
    </w:rPr>
  </w:style>
  <w:style w:type="paragraph" w:customStyle="1" w:styleId="xl123">
    <w:name w:val="xl123"/>
    <w:basedOn w:val="Normal"/>
    <w:rsid w:val="00B446D0"/>
    <w:pPr>
      <w:spacing w:before="100" w:beforeAutospacing="1" w:after="100" w:afterAutospacing="1"/>
      <w:jc w:val="center"/>
      <w:textAlignment w:val="center"/>
    </w:pPr>
    <w:rPr>
      <w:rFonts w:eastAsia="Calibri" w:cs="Courier New"/>
      <w:color w:val="000000"/>
      <w:sz w:val="16"/>
      <w:szCs w:val="16"/>
    </w:rPr>
  </w:style>
  <w:style w:type="paragraph" w:customStyle="1" w:styleId="xl124">
    <w:name w:val="xl124"/>
    <w:basedOn w:val="Normal"/>
    <w:rsid w:val="00B446D0"/>
    <w:pPr>
      <w:pBdr>
        <w:bottom w:val="single" w:sz="4" w:space="0" w:color="auto"/>
      </w:pBdr>
      <w:spacing w:before="100" w:beforeAutospacing="1" w:after="100" w:afterAutospacing="1"/>
      <w:jc w:val="center"/>
      <w:textAlignment w:val="center"/>
    </w:pPr>
    <w:rPr>
      <w:rFonts w:eastAsia="Calibri" w:cs="Courier New"/>
      <w:color w:val="000000"/>
      <w:sz w:val="16"/>
      <w:szCs w:val="16"/>
    </w:rPr>
  </w:style>
  <w:style w:type="paragraph" w:customStyle="1" w:styleId="xl125">
    <w:name w:val="xl125"/>
    <w:basedOn w:val="Normal"/>
    <w:rsid w:val="00B446D0"/>
    <w:pPr>
      <w:pBdr>
        <w:bottom w:val="single" w:sz="4" w:space="0" w:color="auto"/>
      </w:pBdr>
      <w:spacing w:before="100" w:beforeAutospacing="1" w:after="100" w:afterAutospacing="1"/>
      <w:jc w:val="center"/>
    </w:pPr>
    <w:rPr>
      <w:rFonts w:eastAsia="Calibri" w:cs="Courier New"/>
      <w:b/>
      <w:bCs/>
      <w:color w:val="000000"/>
      <w:sz w:val="16"/>
      <w:szCs w:val="16"/>
    </w:rPr>
  </w:style>
  <w:style w:type="paragraph" w:customStyle="1" w:styleId="xl126">
    <w:name w:val="xl126"/>
    <w:basedOn w:val="Normal"/>
    <w:rsid w:val="00B446D0"/>
    <w:pPr>
      <w:pBdr>
        <w:left w:val="single" w:sz="4" w:space="0" w:color="auto"/>
      </w:pBdr>
      <w:spacing w:before="100" w:beforeAutospacing="1" w:after="100" w:afterAutospacing="1"/>
      <w:textAlignment w:val="center"/>
    </w:pPr>
    <w:rPr>
      <w:rFonts w:eastAsia="Calibri" w:cs="Courier New"/>
      <w:sz w:val="16"/>
      <w:szCs w:val="16"/>
    </w:rPr>
  </w:style>
  <w:style w:type="paragraph" w:customStyle="1" w:styleId="xl127">
    <w:name w:val="xl127"/>
    <w:basedOn w:val="Normal"/>
    <w:rsid w:val="00B446D0"/>
    <w:pPr>
      <w:spacing w:before="100" w:beforeAutospacing="1" w:after="100" w:afterAutospacing="1"/>
      <w:textAlignment w:val="center"/>
    </w:pPr>
    <w:rPr>
      <w:rFonts w:eastAsia="Calibri" w:cs="Courier New"/>
      <w:sz w:val="16"/>
      <w:szCs w:val="16"/>
    </w:rPr>
  </w:style>
  <w:style w:type="paragraph" w:customStyle="1" w:styleId="xl128">
    <w:name w:val="xl128"/>
    <w:basedOn w:val="Normal"/>
    <w:rsid w:val="00B446D0"/>
    <w:pPr>
      <w:pBdr>
        <w:top w:val="single" w:sz="4" w:space="0" w:color="auto"/>
        <w:right w:val="single" w:sz="4" w:space="0" w:color="auto"/>
      </w:pBdr>
      <w:spacing w:before="100" w:beforeAutospacing="1" w:after="100" w:afterAutospacing="1"/>
      <w:jc w:val="center"/>
    </w:pPr>
    <w:rPr>
      <w:rFonts w:eastAsia="Calibri" w:cs="Courier New"/>
      <w:color w:val="000000"/>
      <w:sz w:val="16"/>
      <w:szCs w:val="16"/>
    </w:rPr>
  </w:style>
  <w:style w:type="paragraph" w:customStyle="1" w:styleId="xl129">
    <w:name w:val="xl129"/>
    <w:basedOn w:val="Normal"/>
    <w:rsid w:val="00B446D0"/>
    <w:pPr>
      <w:pBdr>
        <w:right w:val="single" w:sz="4" w:space="0" w:color="auto"/>
      </w:pBdr>
      <w:spacing w:before="100" w:beforeAutospacing="1" w:after="100" w:afterAutospacing="1"/>
      <w:jc w:val="center"/>
    </w:pPr>
    <w:rPr>
      <w:rFonts w:eastAsia="Calibri" w:cs="Courier New"/>
      <w:color w:val="000000"/>
      <w:sz w:val="16"/>
      <w:szCs w:val="16"/>
    </w:rPr>
  </w:style>
  <w:style w:type="paragraph" w:customStyle="1" w:styleId="xl130">
    <w:name w:val="xl130"/>
    <w:basedOn w:val="Normal"/>
    <w:rsid w:val="00B446D0"/>
    <w:pPr>
      <w:pBdr>
        <w:bottom w:val="single" w:sz="4" w:space="0" w:color="auto"/>
        <w:right w:val="single" w:sz="4" w:space="0" w:color="auto"/>
      </w:pBdr>
      <w:spacing w:before="100" w:beforeAutospacing="1" w:after="100" w:afterAutospacing="1"/>
      <w:jc w:val="center"/>
    </w:pPr>
    <w:rPr>
      <w:rFonts w:eastAsia="Calibri" w:cs="Courier New"/>
      <w:color w:val="000000"/>
      <w:sz w:val="16"/>
      <w:szCs w:val="16"/>
    </w:rPr>
  </w:style>
  <w:style w:type="paragraph" w:customStyle="1" w:styleId="xl131">
    <w:name w:val="xl131"/>
    <w:basedOn w:val="Normal"/>
    <w:rsid w:val="00B446D0"/>
    <w:pPr>
      <w:pBdr>
        <w:top w:val="single" w:sz="4" w:space="0" w:color="auto"/>
        <w:left w:val="single" w:sz="4" w:space="0" w:color="auto"/>
        <w:bottom w:val="single" w:sz="4" w:space="0" w:color="auto"/>
      </w:pBdr>
      <w:spacing w:before="100" w:beforeAutospacing="1" w:after="100" w:afterAutospacing="1"/>
      <w:textAlignment w:val="top"/>
    </w:pPr>
    <w:rPr>
      <w:rFonts w:eastAsia="Calibri" w:cs="Courier New"/>
      <w:sz w:val="16"/>
      <w:szCs w:val="16"/>
    </w:rPr>
  </w:style>
  <w:style w:type="paragraph" w:customStyle="1" w:styleId="xl132">
    <w:name w:val="xl132"/>
    <w:basedOn w:val="Normal"/>
    <w:rsid w:val="00B446D0"/>
    <w:pPr>
      <w:pBdr>
        <w:left w:val="single" w:sz="4" w:space="0" w:color="auto"/>
      </w:pBdr>
      <w:spacing w:before="100" w:beforeAutospacing="1" w:after="100" w:afterAutospacing="1"/>
      <w:textAlignment w:val="top"/>
    </w:pPr>
    <w:rPr>
      <w:rFonts w:eastAsia="Calibri" w:cs="Courier New"/>
      <w:sz w:val="16"/>
      <w:szCs w:val="16"/>
    </w:rPr>
  </w:style>
  <w:style w:type="paragraph" w:customStyle="1" w:styleId="xl133">
    <w:name w:val="xl133"/>
    <w:basedOn w:val="Normal"/>
    <w:rsid w:val="00B446D0"/>
    <w:pPr>
      <w:pBdr>
        <w:left w:val="single" w:sz="4" w:space="0" w:color="auto"/>
      </w:pBdr>
      <w:spacing w:before="100" w:beforeAutospacing="1" w:after="100" w:afterAutospacing="1"/>
      <w:textAlignment w:val="top"/>
    </w:pPr>
    <w:rPr>
      <w:rFonts w:eastAsia="Calibri" w:cs="Courier New"/>
      <w:sz w:val="24"/>
      <w:szCs w:val="24"/>
    </w:rPr>
  </w:style>
  <w:style w:type="character" w:customStyle="1" w:styleId="A01">
    <w:name w:val="A0+1"/>
    <w:rsid w:val="00B446D0"/>
    <w:rPr>
      <w:b/>
      <w:color w:val="211D1E"/>
      <w:sz w:val="60"/>
    </w:rPr>
  </w:style>
  <w:style w:type="character" w:customStyle="1" w:styleId="A11">
    <w:name w:val="A1+1"/>
    <w:rsid w:val="00B446D0"/>
    <w:rPr>
      <w:rFonts w:ascii="TradeGothic CondEighteen" w:hAnsi="TradeGothic CondEighteen"/>
      <w:color w:val="211D1E"/>
      <w:sz w:val="48"/>
    </w:rPr>
  </w:style>
  <w:style w:type="paragraph" w:customStyle="1" w:styleId="Listecouleur-Accent11">
    <w:name w:val="Liste couleur - Accent 11"/>
    <w:basedOn w:val="Normal"/>
    <w:link w:val="Listecouleur-Accent1Car"/>
    <w:rsid w:val="00B446D0"/>
    <w:pPr>
      <w:spacing w:after="200" w:line="276" w:lineRule="auto"/>
      <w:ind w:left="720"/>
    </w:pPr>
    <w:rPr>
      <w:rFonts w:ascii="Calibri" w:eastAsia="Calibri" w:hAnsi="Calibri" w:cs="Courier New"/>
      <w:lang w:val="en-US" w:bidi="he-IL"/>
    </w:rPr>
  </w:style>
  <w:style w:type="character" w:customStyle="1" w:styleId="Listecouleur-Accent1Car">
    <w:name w:val="Liste couleur - Accent 1 Car"/>
    <w:link w:val="Listecouleur-Accent11"/>
    <w:locked/>
    <w:rsid w:val="00B446D0"/>
    <w:rPr>
      <w:rFonts w:ascii="Calibri" w:eastAsia="Calibri" w:hAnsi="Calibri" w:cs="Courier New"/>
      <w:sz w:val="20"/>
      <w:szCs w:val="20"/>
      <w:lang w:val="en-US" w:eastAsia="fr-FR" w:bidi="he-IL"/>
    </w:rPr>
  </w:style>
  <w:style w:type="character" w:customStyle="1" w:styleId="boldit1">
    <w:name w:val="boldit1"/>
    <w:rsid w:val="00B446D0"/>
    <w:rPr>
      <w:rFonts w:cs="Times New Roman"/>
      <w:b/>
      <w:bCs/>
    </w:rPr>
  </w:style>
  <w:style w:type="character" w:customStyle="1" w:styleId="italicizeit1">
    <w:name w:val="italicizeit1"/>
    <w:rsid w:val="00B446D0"/>
    <w:rPr>
      <w:rFonts w:cs="Times New Roman"/>
      <w:i/>
      <w:iCs/>
    </w:rPr>
  </w:style>
  <w:style w:type="paragraph" w:customStyle="1" w:styleId="paragraphCH10">
    <w:name w:val="paragraph_CH10"/>
    <w:rsid w:val="00B446D0"/>
    <w:pPr>
      <w:spacing w:after="0" w:line="264" w:lineRule="auto"/>
      <w:jc w:val="both"/>
    </w:pPr>
    <w:rPr>
      <w:rFonts w:ascii="Calibri" w:eastAsia="Calibri" w:hAnsi="Calibri" w:cs="Times New Roman"/>
    </w:rPr>
  </w:style>
  <w:style w:type="paragraph" w:customStyle="1" w:styleId="Sansinterligne2">
    <w:name w:val="Sans interligne2"/>
    <w:uiPriority w:val="1"/>
    <w:qFormat/>
    <w:rsid w:val="00B446D0"/>
    <w:pPr>
      <w:spacing w:after="0" w:line="240" w:lineRule="auto"/>
    </w:pPr>
    <w:rPr>
      <w:rFonts w:ascii="Calibri" w:eastAsia="Times New Roman" w:hAnsi="Calibri" w:cs="Courier New"/>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6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15619</Words>
  <Characters>85909</Characters>
  <Application>Microsoft Office Word</Application>
  <DocSecurity>0</DocSecurity>
  <Lines>715</Lines>
  <Paragraphs>202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101326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dc:creator>
  <cp:lastModifiedBy>insae</cp:lastModifiedBy>
  <cp:revision>2</cp:revision>
  <dcterms:created xsi:type="dcterms:W3CDTF">2016-10-04T02:37:00Z</dcterms:created>
  <dcterms:modified xsi:type="dcterms:W3CDTF">2016-10-04T02:37:00Z</dcterms:modified>
</cp:coreProperties>
</file>